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Pr="0037101C" w:rsidRDefault="00574E72" w:rsidP="0037101C">
      <w:pPr>
        <w:pStyle w:val="a5"/>
        <w:spacing w:line="360" w:lineRule="auto"/>
        <w:ind w:firstLine="709"/>
        <w:jc w:val="center"/>
        <w:rPr>
          <w:rFonts w:ascii="Times New Roman" w:hAnsi="Times New Roman" w:cs="Times New Roman"/>
          <w:sz w:val="28"/>
          <w:szCs w:val="28"/>
        </w:rPr>
      </w:pPr>
    </w:p>
    <w:p w:rsidR="0037101C" w:rsidRPr="0037101C" w:rsidRDefault="0037101C" w:rsidP="0037101C">
      <w:pPr>
        <w:pStyle w:val="a5"/>
        <w:spacing w:line="360" w:lineRule="auto"/>
        <w:ind w:firstLine="709"/>
        <w:jc w:val="center"/>
        <w:rPr>
          <w:rFonts w:ascii="Times New Roman" w:hAnsi="Times New Roman" w:cs="Times New Roman"/>
          <w:sz w:val="28"/>
          <w:szCs w:val="28"/>
        </w:rPr>
      </w:pPr>
      <w:r w:rsidRPr="0037101C">
        <w:rPr>
          <w:rFonts w:ascii="Times New Roman" w:hAnsi="Times New Roman" w:cs="Times New Roman"/>
          <w:sz w:val="28"/>
          <w:szCs w:val="28"/>
        </w:rPr>
        <w:t>Реферат</w:t>
      </w:r>
    </w:p>
    <w:p w:rsidR="00574E72" w:rsidRPr="0037101C" w:rsidRDefault="0037101C" w:rsidP="0037101C">
      <w:pPr>
        <w:pStyle w:val="a5"/>
        <w:spacing w:line="360" w:lineRule="auto"/>
        <w:ind w:firstLine="709"/>
        <w:jc w:val="center"/>
        <w:rPr>
          <w:rFonts w:ascii="Times New Roman" w:hAnsi="Times New Roman" w:cs="Times New Roman"/>
          <w:sz w:val="28"/>
          <w:szCs w:val="28"/>
        </w:rPr>
      </w:pPr>
      <w:bookmarkStart w:id="0" w:name="_GoBack"/>
      <w:r w:rsidRPr="0037101C">
        <w:rPr>
          <w:rFonts w:ascii="Times New Roman" w:hAnsi="Times New Roman" w:cs="Times New Roman"/>
          <w:sz w:val="28"/>
          <w:szCs w:val="28"/>
        </w:rPr>
        <w:t xml:space="preserve">Страховая деятельность в Российской Федерации </w:t>
      </w:r>
      <w:bookmarkEnd w:id="0"/>
      <w:r w:rsidRPr="0037101C">
        <w:rPr>
          <w:rFonts w:ascii="Times New Roman" w:hAnsi="Times New Roman" w:cs="Times New Roman"/>
          <w:sz w:val="28"/>
          <w:szCs w:val="28"/>
        </w:rPr>
        <w:t>2020-2022 гг</w:t>
      </w:r>
      <w:r w:rsidR="00B40FCA">
        <w:rPr>
          <w:rFonts w:ascii="Times New Roman" w:hAnsi="Times New Roman" w:cs="Times New Roman"/>
          <w:sz w:val="28"/>
          <w:szCs w:val="28"/>
        </w:rPr>
        <w:t>.</w:t>
      </w: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sdt>
      <w:sdtPr>
        <w:id w:val="-30708885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CA112C" w:rsidRPr="00321137" w:rsidRDefault="00321137" w:rsidP="00321137">
          <w:pPr>
            <w:pStyle w:val="a7"/>
            <w:jc w:val="center"/>
            <w:rPr>
              <w:rFonts w:ascii="Times New Roman" w:hAnsi="Times New Roman" w:cs="Times New Roman"/>
              <w:b/>
              <w:color w:val="000000" w:themeColor="text1"/>
              <w:sz w:val="28"/>
              <w:szCs w:val="28"/>
            </w:rPr>
          </w:pPr>
          <w:r w:rsidRPr="00321137">
            <w:rPr>
              <w:rFonts w:ascii="Times New Roman" w:hAnsi="Times New Roman" w:cs="Times New Roman"/>
              <w:b/>
              <w:color w:val="000000" w:themeColor="text1"/>
              <w:sz w:val="28"/>
              <w:szCs w:val="28"/>
            </w:rPr>
            <w:t>Содержание</w:t>
          </w:r>
        </w:p>
        <w:p w:rsidR="00321137" w:rsidRPr="00321137" w:rsidRDefault="00CA112C">
          <w:pPr>
            <w:pStyle w:val="11"/>
            <w:tabs>
              <w:tab w:val="right" w:leader="dot" w:pos="9345"/>
            </w:tabs>
            <w:rPr>
              <w:rFonts w:ascii="Times New Roman" w:eastAsiaTheme="minorEastAsia" w:hAnsi="Times New Roman" w:cs="Times New Roman"/>
              <w:noProof/>
              <w:sz w:val="28"/>
              <w:szCs w:val="28"/>
              <w:lang w:eastAsia="ru-RU"/>
            </w:rPr>
          </w:pPr>
          <w:r w:rsidRPr="00321137">
            <w:rPr>
              <w:rFonts w:ascii="Times New Roman" w:hAnsi="Times New Roman" w:cs="Times New Roman"/>
              <w:bCs/>
              <w:sz w:val="28"/>
              <w:szCs w:val="28"/>
            </w:rPr>
            <w:fldChar w:fldCharType="begin"/>
          </w:r>
          <w:r w:rsidRPr="00321137">
            <w:rPr>
              <w:rFonts w:ascii="Times New Roman" w:hAnsi="Times New Roman" w:cs="Times New Roman"/>
              <w:bCs/>
              <w:sz w:val="28"/>
              <w:szCs w:val="28"/>
            </w:rPr>
            <w:instrText xml:space="preserve"> TOC \o "1-3" \h \z \u </w:instrText>
          </w:r>
          <w:r w:rsidRPr="00321137">
            <w:rPr>
              <w:rFonts w:ascii="Times New Roman" w:hAnsi="Times New Roman" w:cs="Times New Roman"/>
              <w:bCs/>
              <w:sz w:val="28"/>
              <w:szCs w:val="28"/>
            </w:rPr>
            <w:fldChar w:fldCharType="separate"/>
          </w:r>
          <w:hyperlink w:anchor="_Toc104221802" w:history="1">
            <w:r w:rsidR="00321137" w:rsidRPr="00321137">
              <w:rPr>
                <w:rStyle w:val="a8"/>
                <w:rFonts w:ascii="Times New Roman" w:hAnsi="Times New Roman" w:cs="Times New Roman"/>
                <w:noProof/>
                <w:sz w:val="28"/>
                <w:szCs w:val="28"/>
              </w:rPr>
              <w:t>Введение</w:t>
            </w:r>
            <w:r w:rsidR="00321137" w:rsidRPr="00321137">
              <w:rPr>
                <w:rFonts w:ascii="Times New Roman" w:hAnsi="Times New Roman" w:cs="Times New Roman"/>
                <w:noProof/>
                <w:webHidden/>
                <w:sz w:val="28"/>
                <w:szCs w:val="28"/>
              </w:rPr>
              <w:tab/>
            </w:r>
            <w:r w:rsidR="00321137" w:rsidRPr="00321137">
              <w:rPr>
                <w:rFonts w:ascii="Times New Roman" w:hAnsi="Times New Roman" w:cs="Times New Roman"/>
                <w:noProof/>
                <w:webHidden/>
                <w:sz w:val="28"/>
                <w:szCs w:val="28"/>
              </w:rPr>
              <w:fldChar w:fldCharType="begin"/>
            </w:r>
            <w:r w:rsidR="00321137" w:rsidRPr="00321137">
              <w:rPr>
                <w:rFonts w:ascii="Times New Roman" w:hAnsi="Times New Roman" w:cs="Times New Roman"/>
                <w:noProof/>
                <w:webHidden/>
                <w:sz w:val="28"/>
                <w:szCs w:val="28"/>
              </w:rPr>
              <w:instrText xml:space="preserve"> PAGEREF _Toc104221802 \h </w:instrText>
            </w:r>
            <w:r w:rsidR="00321137" w:rsidRPr="00321137">
              <w:rPr>
                <w:rFonts w:ascii="Times New Roman" w:hAnsi="Times New Roman" w:cs="Times New Roman"/>
                <w:noProof/>
                <w:webHidden/>
                <w:sz w:val="28"/>
                <w:szCs w:val="28"/>
              </w:rPr>
            </w:r>
            <w:r w:rsidR="00321137" w:rsidRPr="00321137">
              <w:rPr>
                <w:rFonts w:ascii="Times New Roman" w:hAnsi="Times New Roman" w:cs="Times New Roman"/>
                <w:noProof/>
                <w:webHidden/>
                <w:sz w:val="28"/>
                <w:szCs w:val="28"/>
              </w:rPr>
              <w:fldChar w:fldCharType="separate"/>
            </w:r>
            <w:r w:rsidR="0074177C">
              <w:rPr>
                <w:rFonts w:ascii="Times New Roman" w:hAnsi="Times New Roman" w:cs="Times New Roman"/>
                <w:noProof/>
                <w:webHidden/>
                <w:sz w:val="28"/>
                <w:szCs w:val="28"/>
              </w:rPr>
              <w:t>3</w:t>
            </w:r>
            <w:r w:rsidR="00321137" w:rsidRPr="00321137">
              <w:rPr>
                <w:rFonts w:ascii="Times New Roman" w:hAnsi="Times New Roman" w:cs="Times New Roman"/>
                <w:noProof/>
                <w:webHidden/>
                <w:sz w:val="28"/>
                <w:szCs w:val="28"/>
              </w:rPr>
              <w:fldChar w:fldCharType="end"/>
            </w:r>
          </w:hyperlink>
        </w:p>
        <w:p w:rsidR="00321137" w:rsidRPr="00321137" w:rsidRDefault="0032113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04221803" w:history="1">
            <w:r w:rsidRPr="00321137">
              <w:rPr>
                <w:rStyle w:val="a8"/>
                <w:rFonts w:ascii="Times New Roman" w:hAnsi="Times New Roman" w:cs="Times New Roman"/>
                <w:noProof/>
                <w:sz w:val="28"/>
                <w:szCs w:val="28"/>
              </w:rPr>
              <w:t>1.</w:t>
            </w:r>
            <w:r w:rsidRPr="00321137">
              <w:rPr>
                <w:rFonts w:ascii="Times New Roman" w:eastAsiaTheme="minorEastAsia" w:hAnsi="Times New Roman" w:cs="Times New Roman"/>
                <w:noProof/>
                <w:sz w:val="28"/>
                <w:szCs w:val="28"/>
                <w:lang w:eastAsia="ru-RU"/>
              </w:rPr>
              <w:tab/>
            </w:r>
            <w:r w:rsidRPr="00321137">
              <w:rPr>
                <w:rStyle w:val="a8"/>
                <w:rFonts w:ascii="Times New Roman" w:hAnsi="Times New Roman" w:cs="Times New Roman"/>
                <w:noProof/>
                <w:sz w:val="28"/>
                <w:szCs w:val="28"/>
              </w:rPr>
              <w:t>Понятие и правовое регулирования страхового рынка России</w:t>
            </w:r>
            <w:r w:rsidRPr="00321137">
              <w:rPr>
                <w:rFonts w:ascii="Times New Roman" w:hAnsi="Times New Roman" w:cs="Times New Roman"/>
                <w:noProof/>
                <w:webHidden/>
                <w:sz w:val="28"/>
                <w:szCs w:val="28"/>
              </w:rPr>
              <w:tab/>
            </w:r>
            <w:r w:rsidRPr="00321137">
              <w:rPr>
                <w:rFonts w:ascii="Times New Roman" w:hAnsi="Times New Roman" w:cs="Times New Roman"/>
                <w:noProof/>
                <w:webHidden/>
                <w:sz w:val="28"/>
                <w:szCs w:val="28"/>
              </w:rPr>
              <w:fldChar w:fldCharType="begin"/>
            </w:r>
            <w:r w:rsidRPr="00321137">
              <w:rPr>
                <w:rFonts w:ascii="Times New Roman" w:hAnsi="Times New Roman" w:cs="Times New Roman"/>
                <w:noProof/>
                <w:webHidden/>
                <w:sz w:val="28"/>
                <w:szCs w:val="28"/>
              </w:rPr>
              <w:instrText xml:space="preserve"> PAGEREF _Toc104221803 \h </w:instrText>
            </w:r>
            <w:r w:rsidRPr="00321137">
              <w:rPr>
                <w:rFonts w:ascii="Times New Roman" w:hAnsi="Times New Roman" w:cs="Times New Roman"/>
                <w:noProof/>
                <w:webHidden/>
                <w:sz w:val="28"/>
                <w:szCs w:val="28"/>
              </w:rPr>
            </w:r>
            <w:r w:rsidRPr="00321137">
              <w:rPr>
                <w:rFonts w:ascii="Times New Roman" w:hAnsi="Times New Roman" w:cs="Times New Roman"/>
                <w:noProof/>
                <w:webHidden/>
                <w:sz w:val="28"/>
                <w:szCs w:val="28"/>
              </w:rPr>
              <w:fldChar w:fldCharType="separate"/>
            </w:r>
            <w:r w:rsidR="0074177C">
              <w:rPr>
                <w:rFonts w:ascii="Times New Roman" w:hAnsi="Times New Roman" w:cs="Times New Roman"/>
                <w:noProof/>
                <w:webHidden/>
                <w:sz w:val="28"/>
                <w:szCs w:val="28"/>
              </w:rPr>
              <w:t>4</w:t>
            </w:r>
            <w:r w:rsidRPr="00321137">
              <w:rPr>
                <w:rFonts w:ascii="Times New Roman" w:hAnsi="Times New Roman" w:cs="Times New Roman"/>
                <w:noProof/>
                <w:webHidden/>
                <w:sz w:val="28"/>
                <w:szCs w:val="28"/>
              </w:rPr>
              <w:fldChar w:fldCharType="end"/>
            </w:r>
          </w:hyperlink>
        </w:p>
        <w:p w:rsidR="00321137" w:rsidRPr="00321137" w:rsidRDefault="0032113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04221804" w:history="1">
            <w:r w:rsidRPr="00321137">
              <w:rPr>
                <w:rStyle w:val="a8"/>
                <w:rFonts w:ascii="Times New Roman" w:hAnsi="Times New Roman" w:cs="Times New Roman"/>
                <w:noProof/>
                <w:sz w:val="28"/>
                <w:szCs w:val="28"/>
              </w:rPr>
              <w:t>2.</w:t>
            </w:r>
            <w:r w:rsidRPr="00321137">
              <w:rPr>
                <w:rFonts w:ascii="Times New Roman" w:eastAsiaTheme="minorEastAsia" w:hAnsi="Times New Roman" w:cs="Times New Roman"/>
                <w:noProof/>
                <w:sz w:val="28"/>
                <w:szCs w:val="28"/>
                <w:lang w:eastAsia="ru-RU"/>
              </w:rPr>
              <w:tab/>
            </w:r>
            <w:r w:rsidRPr="00321137">
              <w:rPr>
                <w:rStyle w:val="a8"/>
                <w:rFonts w:ascii="Times New Roman" w:hAnsi="Times New Roman" w:cs="Times New Roman"/>
                <w:noProof/>
                <w:sz w:val="28"/>
                <w:szCs w:val="28"/>
              </w:rPr>
              <w:t>Страховая деятельность в Российской Федерации 2020-2022</w:t>
            </w:r>
            <w:r w:rsidRPr="00321137">
              <w:rPr>
                <w:rFonts w:ascii="Times New Roman" w:hAnsi="Times New Roman" w:cs="Times New Roman"/>
                <w:noProof/>
                <w:webHidden/>
                <w:sz w:val="28"/>
                <w:szCs w:val="28"/>
              </w:rPr>
              <w:tab/>
            </w:r>
            <w:r w:rsidRPr="00321137">
              <w:rPr>
                <w:rFonts w:ascii="Times New Roman" w:hAnsi="Times New Roman" w:cs="Times New Roman"/>
                <w:noProof/>
                <w:webHidden/>
                <w:sz w:val="28"/>
                <w:szCs w:val="28"/>
              </w:rPr>
              <w:fldChar w:fldCharType="begin"/>
            </w:r>
            <w:r w:rsidRPr="00321137">
              <w:rPr>
                <w:rFonts w:ascii="Times New Roman" w:hAnsi="Times New Roman" w:cs="Times New Roman"/>
                <w:noProof/>
                <w:webHidden/>
                <w:sz w:val="28"/>
                <w:szCs w:val="28"/>
              </w:rPr>
              <w:instrText xml:space="preserve"> PAGEREF _Toc104221804 \h </w:instrText>
            </w:r>
            <w:r w:rsidRPr="00321137">
              <w:rPr>
                <w:rFonts w:ascii="Times New Roman" w:hAnsi="Times New Roman" w:cs="Times New Roman"/>
                <w:noProof/>
                <w:webHidden/>
                <w:sz w:val="28"/>
                <w:szCs w:val="28"/>
              </w:rPr>
            </w:r>
            <w:r w:rsidRPr="00321137">
              <w:rPr>
                <w:rFonts w:ascii="Times New Roman" w:hAnsi="Times New Roman" w:cs="Times New Roman"/>
                <w:noProof/>
                <w:webHidden/>
                <w:sz w:val="28"/>
                <w:szCs w:val="28"/>
              </w:rPr>
              <w:fldChar w:fldCharType="separate"/>
            </w:r>
            <w:r w:rsidR="0074177C">
              <w:rPr>
                <w:rFonts w:ascii="Times New Roman" w:hAnsi="Times New Roman" w:cs="Times New Roman"/>
                <w:noProof/>
                <w:webHidden/>
                <w:sz w:val="28"/>
                <w:szCs w:val="28"/>
              </w:rPr>
              <w:t>6</w:t>
            </w:r>
            <w:r w:rsidRPr="00321137">
              <w:rPr>
                <w:rFonts w:ascii="Times New Roman" w:hAnsi="Times New Roman" w:cs="Times New Roman"/>
                <w:noProof/>
                <w:webHidden/>
                <w:sz w:val="28"/>
                <w:szCs w:val="28"/>
              </w:rPr>
              <w:fldChar w:fldCharType="end"/>
            </w:r>
          </w:hyperlink>
        </w:p>
        <w:p w:rsidR="00321137" w:rsidRPr="00321137" w:rsidRDefault="00321137">
          <w:pPr>
            <w:pStyle w:val="11"/>
            <w:tabs>
              <w:tab w:val="left" w:pos="440"/>
              <w:tab w:val="right" w:leader="dot" w:pos="9345"/>
            </w:tabs>
            <w:rPr>
              <w:rFonts w:ascii="Times New Roman" w:eastAsiaTheme="minorEastAsia" w:hAnsi="Times New Roman" w:cs="Times New Roman"/>
              <w:noProof/>
              <w:sz w:val="28"/>
              <w:szCs w:val="28"/>
              <w:lang w:eastAsia="ru-RU"/>
            </w:rPr>
          </w:pPr>
          <w:hyperlink w:anchor="_Toc104221805" w:history="1">
            <w:r w:rsidRPr="00321137">
              <w:rPr>
                <w:rStyle w:val="a8"/>
                <w:rFonts w:ascii="Times New Roman" w:hAnsi="Times New Roman" w:cs="Times New Roman"/>
                <w:noProof/>
                <w:sz w:val="28"/>
                <w:szCs w:val="28"/>
              </w:rPr>
              <w:t>3.</w:t>
            </w:r>
            <w:r w:rsidRPr="00321137">
              <w:rPr>
                <w:rFonts w:ascii="Times New Roman" w:eastAsiaTheme="minorEastAsia" w:hAnsi="Times New Roman" w:cs="Times New Roman"/>
                <w:noProof/>
                <w:sz w:val="28"/>
                <w:szCs w:val="28"/>
                <w:lang w:eastAsia="ru-RU"/>
              </w:rPr>
              <w:tab/>
            </w:r>
            <w:r w:rsidRPr="00321137">
              <w:rPr>
                <w:rStyle w:val="a8"/>
                <w:rFonts w:ascii="Times New Roman" w:hAnsi="Times New Roman" w:cs="Times New Roman"/>
                <w:noProof/>
                <w:sz w:val="28"/>
                <w:szCs w:val="28"/>
              </w:rPr>
              <w:t>Перспективы и векторы развития страхования</w:t>
            </w:r>
            <w:r w:rsidRPr="00321137">
              <w:rPr>
                <w:rFonts w:ascii="Times New Roman" w:hAnsi="Times New Roman" w:cs="Times New Roman"/>
                <w:noProof/>
                <w:webHidden/>
                <w:sz w:val="28"/>
                <w:szCs w:val="28"/>
              </w:rPr>
              <w:tab/>
            </w:r>
            <w:r w:rsidRPr="00321137">
              <w:rPr>
                <w:rFonts w:ascii="Times New Roman" w:hAnsi="Times New Roman" w:cs="Times New Roman"/>
                <w:noProof/>
                <w:webHidden/>
                <w:sz w:val="28"/>
                <w:szCs w:val="28"/>
              </w:rPr>
              <w:fldChar w:fldCharType="begin"/>
            </w:r>
            <w:r w:rsidRPr="00321137">
              <w:rPr>
                <w:rFonts w:ascii="Times New Roman" w:hAnsi="Times New Roman" w:cs="Times New Roman"/>
                <w:noProof/>
                <w:webHidden/>
                <w:sz w:val="28"/>
                <w:szCs w:val="28"/>
              </w:rPr>
              <w:instrText xml:space="preserve"> PAGEREF _Toc104221805 \h </w:instrText>
            </w:r>
            <w:r w:rsidRPr="00321137">
              <w:rPr>
                <w:rFonts w:ascii="Times New Roman" w:hAnsi="Times New Roman" w:cs="Times New Roman"/>
                <w:noProof/>
                <w:webHidden/>
                <w:sz w:val="28"/>
                <w:szCs w:val="28"/>
              </w:rPr>
            </w:r>
            <w:r w:rsidRPr="00321137">
              <w:rPr>
                <w:rFonts w:ascii="Times New Roman" w:hAnsi="Times New Roman" w:cs="Times New Roman"/>
                <w:noProof/>
                <w:webHidden/>
                <w:sz w:val="28"/>
                <w:szCs w:val="28"/>
              </w:rPr>
              <w:fldChar w:fldCharType="separate"/>
            </w:r>
            <w:r w:rsidR="0074177C">
              <w:rPr>
                <w:rFonts w:ascii="Times New Roman" w:hAnsi="Times New Roman" w:cs="Times New Roman"/>
                <w:noProof/>
                <w:webHidden/>
                <w:sz w:val="28"/>
                <w:szCs w:val="28"/>
              </w:rPr>
              <w:t>14</w:t>
            </w:r>
            <w:r w:rsidRPr="00321137">
              <w:rPr>
                <w:rFonts w:ascii="Times New Roman" w:hAnsi="Times New Roman" w:cs="Times New Roman"/>
                <w:noProof/>
                <w:webHidden/>
                <w:sz w:val="28"/>
                <w:szCs w:val="28"/>
              </w:rPr>
              <w:fldChar w:fldCharType="end"/>
            </w:r>
          </w:hyperlink>
        </w:p>
        <w:p w:rsidR="00321137" w:rsidRPr="00321137" w:rsidRDefault="00321137">
          <w:pPr>
            <w:pStyle w:val="11"/>
            <w:tabs>
              <w:tab w:val="right" w:leader="dot" w:pos="9345"/>
            </w:tabs>
            <w:rPr>
              <w:rFonts w:ascii="Times New Roman" w:eastAsiaTheme="minorEastAsia" w:hAnsi="Times New Roman" w:cs="Times New Roman"/>
              <w:noProof/>
              <w:sz w:val="28"/>
              <w:szCs w:val="28"/>
              <w:lang w:eastAsia="ru-RU"/>
            </w:rPr>
          </w:pPr>
          <w:hyperlink w:anchor="_Toc104221806" w:history="1">
            <w:r w:rsidRPr="00321137">
              <w:rPr>
                <w:rStyle w:val="a8"/>
                <w:rFonts w:ascii="Times New Roman" w:hAnsi="Times New Roman" w:cs="Times New Roman"/>
                <w:noProof/>
                <w:sz w:val="28"/>
                <w:szCs w:val="28"/>
              </w:rPr>
              <w:t>Заключение</w:t>
            </w:r>
            <w:r w:rsidRPr="00321137">
              <w:rPr>
                <w:rFonts w:ascii="Times New Roman" w:hAnsi="Times New Roman" w:cs="Times New Roman"/>
                <w:noProof/>
                <w:webHidden/>
                <w:sz w:val="28"/>
                <w:szCs w:val="28"/>
              </w:rPr>
              <w:tab/>
            </w:r>
            <w:r w:rsidRPr="00321137">
              <w:rPr>
                <w:rFonts w:ascii="Times New Roman" w:hAnsi="Times New Roman" w:cs="Times New Roman"/>
                <w:noProof/>
                <w:webHidden/>
                <w:sz w:val="28"/>
                <w:szCs w:val="28"/>
              </w:rPr>
              <w:fldChar w:fldCharType="begin"/>
            </w:r>
            <w:r w:rsidRPr="00321137">
              <w:rPr>
                <w:rFonts w:ascii="Times New Roman" w:hAnsi="Times New Roman" w:cs="Times New Roman"/>
                <w:noProof/>
                <w:webHidden/>
                <w:sz w:val="28"/>
                <w:szCs w:val="28"/>
              </w:rPr>
              <w:instrText xml:space="preserve"> PAGEREF _Toc104221806 \h </w:instrText>
            </w:r>
            <w:r w:rsidRPr="00321137">
              <w:rPr>
                <w:rFonts w:ascii="Times New Roman" w:hAnsi="Times New Roman" w:cs="Times New Roman"/>
                <w:noProof/>
                <w:webHidden/>
                <w:sz w:val="28"/>
                <w:szCs w:val="28"/>
              </w:rPr>
            </w:r>
            <w:r w:rsidRPr="00321137">
              <w:rPr>
                <w:rFonts w:ascii="Times New Roman" w:hAnsi="Times New Roman" w:cs="Times New Roman"/>
                <w:noProof/>
                <w:webHidden/>
                <w:sz w:val="28"/>
                <w:szCs w:val="28"/>
              </w:rPr>
              <w:fldChar w:fldCharType="separate"/>
            </w:r>
            <w:r w:rsidR="0074177C">
              <w:rPr>
                <w:rFonts w:ascii="Times New Roman" w:hAnsi="Times New Roman" w:cs="Times New Roman"/>
                <w:noProof/>
                <w:webHidden/>
                <w:sz w:val="28"/>
                <w:szCs w:val="28"/>
              </w:rPr>
              <w:t>17</w:t>
            </w:r>
            <w:r w:rsidRPr="00321137">
              <w:rPr>
                <w:rFonts w:ascii="Times New Roman" w:hAnsi="Times New Roman" w:cs="Times New Roman"/>
                <w:noProof/>
                <w:webHidden/>
                <w:sz w:val="28"/>
                <w:szCs w:val="28"/>
              </w:rPr>
              <w:fldChar w:fldCharType="end"/>
            </w:r>
          </w:hyperlink>
        </w:p>
        <w:p w:rsidR="00321137" w:rsidRPr="00321137" w:rsidRDefault="00321137">
          <w:pPr>
            <w:pStyle w:val="11"/>
            <w:tabs>
              <w:tab w:val="right" w:leader="dot" w:pos="9345"/>
            </w:tabs>
            <w:rPr>
              <w:rFonts w:ascii="Times New Roman" w:eastAsiaTheme="minorEastAsia" w:hAnsi="Times New Roman" w:cs="Times New Roman"/>
              <w:noProof/>
              <w:sz w:val="28"/>
              <w:szCs w:val="28"/>
              <w:lang w:eastAsia="ru-RU"/>
            </w:rPr>
          </w:pPr>
          <w:hyperlink w:anchor="_Toc104221807" w:history="1">
            <w:r w:rsidRPr="00321137">
              <w:rPr>
                <w:rStyle w:val="a8"/>
                <w:rFonts w:ascii="Times New Roman" w:hAnsi="Times New Roman" w:cs="Times New Roman"/>
                <w:noProof/>
                <w:sz w:val="28"/>
                <w:szCs w:val="28"/>
              </w:rPr>
              <w:t>Список использованной литературы</w:t>
            </w:r>
            <w:r w:rsidRPr="00321137">
              <w:rPr>
                <w:rFonts w:ascii="Times New Roman" w:hAnsi="Times New Roman" w:cs="Times New Roman"/>
                <w:noProof/>
                <w:webHidden/>
                <w:sz w:val="28"/>
                <w:szCs w:val="28"/>
              </w:rPr>
              <w:tab/>
            </w:r>
            <w:r w:rsidRPr="00321137">
              <w:rPr>
                <w:rFonts w:ascii="Times New Roman" w:hAnsi="Times New Roman" w:cs="Times New Roman"/>
                <w:noProof/>
                <w:webHidden/>
                <w:sz w:val="28"/>
                <w:szCs w:val="28"/>
              </w:rPr>
              <w:fldChar w:fldCharType="begin"/>
            </w:r>
            <w:r w:rsidRPr="00321137">
              <w:rPr>
                <w:rFonts w:ascii="Times New Roman" w:hAnsi="Times New Roman" w:cs="Times New Roman"/>
                <w:noProof/>
                <w:webHidden/>
                <w:sz w:val="28"/>
                <w:szCs w:val="28"/>
              </w:rPr>
              <w:instrText xml:space="preserve"> PAGEREF _Toc104221807 \h </w:instrText>
            </w:r>
            <w:r w:rsidRPr="00321137">
              <w:rPr>
                <w:rFonts w:ascii="Times New Roman" w:hAnsi="Times New Roman" w:cs="Times New Roman"/>
                <w:noProof/>
                <w:webHidden/>
                <w:sz w:val="28"/>
                <w:szCs w:val="28"/>
              </w:rPr>
            </w:r>
            <w:r w:rsidRPr="00321137">
              <w:rPr>
                <w:rFonts w:ascii="Times New Roman" w:hAnsi="Times New Roman" w:cs="Times New Roman"/>
                <w:noProof/>
                <w:webHidden/>
                <w:sz w:val="28"/>
                <w:szCs w:val="28"/>
              </w:rPr>
              <w:fldChar w:fldCharType="separate"/>
            </w:r>
            <w:r w:rsidR="0074177C">
              <w:rPr>
                <w:rFonts w:ascii="Times New Roman" w:hAnsi="Times New Roman" w:cs="Times New Roman"/>
                <w:noProof/>
                <w:webHidden/>
                <w:sz w:val="28"/>
                <w:szCs w:val="28"/>
              </w:rPr>
              <w:t>18</w:t>
            </w:r>
            <w:r w:rsidRPr="00321137">
              <w:rPr>
                <w:rFonts w:ascii="Times New Roman" w:hAnsi="Times New Roman" w:cs="Times New Roman"/>
                <w:noProof/>
                <w:webHidden/>
                <w:sz w:val="28"/>
                <w:szCs w:val="28"/>
              </w:rPr>
              <w:fldChar w:fldCharType="end"/>
            </w:r>
          </w:hyperlink>
        </w:p>
        <w:p w:rsidR="00321137" w:rsidRPr="00321137" w:rsidRDefault="00321137">
          <w:pPr>
            <w:pStyle w:val="11"/>
            <w:tabs>
              <w:tab w:val="right" w:leader="dot" w:pos="9345"/>
            </w:tabs>
            <w:rPr>
              <w:rFonts w:ascii="Times New Roman" w:eastAsiaTheme="minorEastAsia" w:hAnsi="Times New Roman" w:cs="Times New Roman"/>
              <w:noProof/>
              <w:sz w:val="28"/>
              <w:szCs w:val="28"/>
              <w:lang w:eastAsia="ru-RU"/>
            </w:rPr>
          </w:pPr>
          <w:r w:rsidRPr="00321137">
            <w:rPr>
              <w:rFonts w:ascii="Times New Roman" w:eastAsiaTheme="minorEastAsia" w:hAnsi="Times New Roman" w:cs="Times New Roman"/>
              <w:noProof/>
              <w:sz w:val="28"/>
              <w:szCs w:val="28"/>
              <w:lang w:eastAsia="ru-RU"/>
            </w:rPr>
            <w:t xml:space="preserve"> </w:t>
          </w:r>
        </w:p>
        <w:p w:rsidR="00CA112C" w:rsidRDefault="00CA112C">
          <w:r w:rsidRPr="00321137">
            <w:rPr>
              <w:rFonts w:ascii="Times New Roman" w:hAnsi="Times New Roman" w:cs="Times New Roman"/>
              <w:bCs/>
              <w:sz w:val="28"/>
              <w:szCs w:val="28"/>
            </w:rPr>
            <w:fldChar w:fldCharType="end"/>
          </w:r>
        </w:p>
      </w:sdtContent>
    </w:sdt>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574E72" w:rsidRDefault="00574E72" w:rsidP="00574E72">
      <w:pPr>
        <w:pStyle w:val="a5"/>
        <w:spacing w:line="360" w:lineRule="auto"/>
        <w:ind w:firstLine="709"/>
        <w:jc w:val="both"/>
        <w:rPr>
          <w:rFonts w:ascii="Times New Roman" w:hAnsi="Times New Roman" w:cs="Times New Roman"/>
          <w:sz w:val="28"/>
          <w:szCs w:val="28"/>
        </w:rPr>
      </w:pPr>
    </w:p>
    <w:p w:rsidR="00321137" w:rsidRDefault="00321137" w:rsidP="00321137">
      <w:pPr>
        <w:pStyle w:val="a5"/>
        <w:spacing w:line="360" w:lineRule="auto"/>
        <w:ind w:firstLine="709"/>
        <w:jc w:val="center"/>
        <w:outlineLvl w:val="0"/>
        <w:rPr>
          <w:rFonts w:ascii="Times New Roman" w:hAnsi="Times New Roman" w:cs="Times New Roman"/>
          <w:b/>
          <w:sz w:val="28"/>
          <w:szCs w:val="28"/>
        </w:rPr>
      </w:pPr>
      <w:bookmarkStart w:id="1" w:name="_Toc104221802"/>
    </w:p>
    <w:p w:rsidR="00321137" w:rsidRDefault="00321137" w:rsidP="00321137">
      <w:pPr>
        <w:pStyle w:val="a5"/>
        <w:spacing w:line="360" w:lineRule="auto"/>
        <w:ind w:firstLine="709"/>
        <w:jc w:val="center"/>
        <w:outlineLvl w:val="0"/>
        <w:rPr>
          <w:rFonts w:ascii="Times New Roman" w:hAnsi="Times New Roman" w:cs="Times New Roman"/>
          <w:b/>
          <w:sz w:val="28"/>
          <w:szCs w:val="28"/>
        </w:rPr>
      </w:pPr>
    </w:p>
    <w:p w:rsidR="00574E72" w:rsidRPr="00574E72" w:rsidRDefault="00574E72" w:rsidP="00321137">
      <w:pPr>
        <w:pStyle w:val="a5"/>
        <w:spacing w:line="360" w:lineRule="auto"/>
        <w:ind w:firstLine="709"/>
        <w:jc w:val="center"/>
        <w:outlineLvl w:val="0"/>
        <w:rPr>
          <w:rFonts w:ascii="Times New Roman" w:hAnsi="Times New Roman" w:cs="Times New Roman"/>
          <w:b/>
          <w:sz w:val="28"/>
          <w:szCs w:val="28"/>
        </w:rPr>
      </w:pPr>
      <w:r w:rsidRPr="00574E72">
        <w:rPr>
          <w:rFonts w:ascii="Times New Roman" w:hAnsi="Times New Roman" w:cs="Times New Roman"/>
          <w:b/>
          <w:sz w:val="28"/>
          <w:szCs w:val="28"/>
        </w:rPr>
        <w:t>Введение</w:t>
      </w:r>
      <w:bookmarkEnd w:id="1"/>
    </w:p>
    <w:p w:rsidR="00574E72" w:rsidRDefault="00574E72" w:rsidP="00574E72">
      <w:pPr>
        <w:pStyle w:val="a5"/>
        <w:spacing w:line="360" w:lineRule="auto"/>
        <w:ind w:firstLine="709"/>
        <w:jc w:val="both"/>
        <w:rPr>
          <w:rFonts w:ascii="Times New Roman" w:hAnsi="Times New Roman" w:cs="Times New Roman"/>
          <w:sz w:val="28"/>
          <w:szCs w:val="28"/>
        </w:rPr>
      </w:pPr>
    </w:p>
    <w:p w:rsidR="00454B3D" w:rsidRDefault="00574E72"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w:t>
      </w:r>
      <w:r w:rsidR="003F53A4" w:rsidRPr="00574E72">
        <w:rPr>
          <w:rFonts w:ascii="Times New Roman" w:hAnsi="Times New Roman" w:cs="Times New Roman"/>
          <w:sz w:val="28"/>
          <w:szCs w:val="28"/>
        </w:rPr>
        <w:t xml:space="preserve">Страхование – сфера деятельности, которая важна для обеспечения жизни в различных ее аспектах, начиная со страхования собственного жизни и страхованием любых материальных предметов. Страхование выполняет важные социально-экономические функции: экономическое развитие государства, компенсация утраченного, а также возможность прогнозирования событий с негативными последствиями домохозяйствам и субъектам хозяйствования иметь уверенность и защищенность в будущем, внедряя хозяйственную деятельность, что влечет за собой общее развитие экономики страны. </w:t>
      </w:r>
    </w:p>
    <w:p w:rsidR="003F53A4" w:rsidRDefault="003F53A4" w:rsidP="00574E72">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 xml:space="preserve">Однако страховой рынок </w:t>
      </w:r>
      <w:r w:rsidR="00454B3D">
        <w:rPr>
          <w:rFonts w:ascii="Times New Roman" w:hAnsi="Times New Roman" w:cs="Times New Roman"/>
          <w:sz w:val="28"/>
          <w:szCs w:val="28"/>
        </w:rPr>
        <w:t>России</w:t>
      </w:r>
      <w:r w:rsidRPr="00574E72">
        <w:rPr>
          <w:rFonts w:ascii="Times New Roman" w:hAnsi="Times New Roman" w:cs="Times New Roman"/>
          <w:sz w:val="28"/>
          <w:szCs w:val="28"/>
        </w:rPr>
        <w:t xml:space="preserve"> частично выполняет возложенные на него функции. Невзирая на улучшения, происходящие на рынке страхования (в частности, капитализация и объединение страховых компаний, совершенствование качества услуг), доверие населения к страховым компаниям находится на низком уровни. Поэтому для определения факторов, приводящих к указанной ситуации, необходимо провести исследование страхового рынка </w:t>
      </w:r>
      <w:r w:rsidR="00574E72">
        <w:rPr>
          <w:rFonts w:ascii="Times New Roman" w:hAnsi="Times New Roman" w:cs="Times New Roman"/>
          <w:sz w:val="28"/>
          <w:szCs w:val="28"/>
        </w:rPr>
        <w:t>России.</w:t>
      </w:r>
    </w:p>
    <w:p w:rsidR="00F52240" w:rsidRDefault="00F52240" w:rsidP="00F52240">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 исследования</w:t>
      </w:r>
      <w:r>
        <w:rPr>
          <w:rFonts w:ascii="Times New Roman" w:hAnsi="Times New Roman" w:cs="Times New Roman"/>
          <w:sz w:val="28"/>
          <w:szCs w:val="28"/>
        </w:rPr>
        <w:t>: страховой рынок.</w:t>
      </w:r>
    </w:p>
    <w:p w:rsidR="00321137" w:rsidRDefault="00321137"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 исследования</w:t>
      </w:r>
      <w:r w:rsidR="00F52240">
        <w:rPr>
          <w:rFonts w:ascii="Times New Roman" w:hAnsi="Times New Roman" w:cs="Times New Roman"/>
          <w:sz w:val="28"/>
          <w:szCs w:val="28"/>
        </w:rPr>
        <w:t xml:space="preserve">: особенности развития страхового рынка </w:t>
      </w:r>
      <w:proofErr w:type="gramStart"/>
      <w:r w:rsidR="00F52240">
        <w:rPr>
          <w:rFonts w:ascii="Times New Roman" w:hAnsi="Times New Roman" w:cs="Times New Roman"/>
          <w:sz w:val="28"/>
          <w:szCs w:val="28"/>
        </w:rPr>
        <w:t>России..</w:t>
      </w:r>
      <w:proofErr w:type="gramEnd"/>
    </w:p>
    <w:p w:rsidR="00B40FCA" w:rsidRDefault="00B40FCA" w:rsidP="00574E72">
      <w:pPr>
        <w:pStyle w:val="a5"/>
        <w:spacing w:line="360" w:lineRule="auto"/>
        <w:ind w:firstLine="709"/>
        <w:jc w:val="both"/>
        <w:rPr>
          <w:rFonts w:ascii="Times New Roman" w:hAnsi="Times New Roman" w:cs="Times New Roman"/>
          <w:sz w:val="28"/>
          <w:szCs w:val="28"/>
        </w:rPr>
      </w:pPr>
      <w:r w:rsidRPr="00B40FCA">
        <w:rPr>
          <w:rFonts w:ascii="Times New Roman" w:hAnsi="Times New Roman" w:cs="Times New Roman"/>
          <w:sz w:val="28"/>
          <w:szCs w:val="28"/>
        </w:rPr>
        <w:t>Целью работы является анализ развития с</w:t>
      </w:r>
      <w:r w:rsidRPr="00B40FCA">
        <w:rPr>
          <w:rFonts w:ascii="Times New Roman" w:hAnsi="Times New Roman" w:cs="Times New Roman"/>
          <w:sz w:val="28"/>
          <w:szCs w:val="28"/>
        </w:rPr>
        <w:t>трахов</w:t>
      </w:r>
      <w:r w:rsidRPr="00B40FCA">
        <w:rPr>
          <w:rFonts w:ascii="Times New Roman" w:hAnsi="Times New Roman" w:cs="Times New Roman"/>
          <w:sz w:val="28"/>
          <w:szCs w:val="28"/>
        </w:rPr>
        <w:t>ой</w:t>
      </w:r>
      <w:r w:rsidRPr="00B40FCA">
        <w:rPr>
          <w:rFonts w:ascii="Times New Roman" w:hAnsi="Times New Roman" w:cs="Times New Roman"/>
          <w:sz w:val="28"/>
          <w:szCs w:val="28"/>
        </w:rPr>
        <w:t xml:space="preserve"> деятельност</w:t>
      </w:r>
      <w:r w:rsidRPr="00B40FCA">
        <w:rPr>
          <w:rFonts w:ascii="Times New Roman" w:hAnsi="Times New Roman" w:cs="Times New Roman"/>
          <w:sz w:val="28"/>
          <w:szCs w:val="28"/>
        </w:rPr>
        <w:t>и</w:t>
      </w:r>
      <w:r w:rsidRPr="00B40FCA">
        <w:rPr>
          <w:rFonts w:ascii="Times New Roman" w:hAnsi="Times New Roman" w:cs="Times New Roman"/>
          <w:sz w:val="28"/>
          <w:szCs w:val="28"/>
        </w:rPr>
        <w:t xml:space="preserve"> в Российской Федерации 2020-2022 гг</w:t>
      </w:r>
      <w:r w:rsidRPr="00B40FCA">
        <w:rPr>
          <w:rFonts w:ascii="Times New Roman" w:hAnsi="Times New Roman" w:cs="Times New Roman"/>
          <w:sz w:val="28"/>
          <w:szCs w:val="28"/>
        </w:rPr>
        <w:t>.</w:t>
      </w:r>
    </w:p>
    <w:p w:rsidR="00321137" w:rsidRDefault="00321137"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работы:</w:t>
      </w:r>
    </w:p>
    <w:p w:rsidR="00321137" w:rsidRDefault="00321137"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-рассмотреть понятие страхового рынка и его правового регулирования;</w:t>
      </w:r>
    </w:p>
    <w:p w:rsidR="00321137" w:rsidRDefault="00321137"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-проанализировать развитие страхования в России 2020-2022 гг.;</w:t>
      </w:r>
    </w:p>
    <w:p w:rsidR="00321137" w:rsidRPr="00B40FCA" w:rsidRDefault="00321137"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-рассмотреть векторы развития страхового рынка России.</w:t>
      </w:r>
    </w:p>
    <w:p w:rsidR="003F53A4" w:rsidRPr="00574E72" w:rsidRDefault="003F53A4" w:rsidP="00574E72">
      <w:pPr>
        <w:pStyle w:val="a5"/>
        <w:spacing w:line="360" w:lineRule="auto"/>
        <w:ind w:firstLine="709"/>
        <w:jc w:val="both"/>
        <w:rPr>
          <w:rFonts w:ascii="Times New Roman" w:hAnsi="Times New Roman" w:cs="Times New Roman"/>
          <w:sz w:val="28"/>
          <w:szCs w:val="28"/>
        </w:rPr>
      </w:pPr>
    </w:p>
    <w:p w:rsidR="003F53A4" w:rsidRPr="001E21EA" w:rsidRDefault="00454B3D" w:rsidP="00321137">
      <w:pPr>
        <w:pStyle w:val="a5"/>
        <w:numPr>
          <w:ilvl w:val="0"/>
          <w:numId w:val="1"/>
        </w:numPr>
        <w:spacing w:line="360" w:lineRule="auto"/>
        <w:jc w:val="center"/>
        <w:outlineLvl w:val="0"/>
        <w:rPr>
          <w:rFonts w:ascii="Times New Roman" w:hAnsi="Times New Roman" w:cs="Times New Roman"/>
          <w:b/>
          <w:sz w:val="28"/>
          <w:szCs w:val="28"/>
        </w:rPr>
      </w:pPr>
      <w:bookmarkStart w:id="2" w:name="_Toc104221803"/>
      <w:r w:rsidRPr="001E21EA">
        <w:rPr>
          <w:rFonts w:ascii="Times New Roman" w:hAnsi="Times New Roman" w:cs="Times New Roman"/>
          <w:b/>
          <w:sz w:val="28"/>
          <w:szCs w:val="28"/>
        </w:rPr>
        <w:lastRenderedPageBreak/>
        <w:t>Понятие и правовое регулирования страхового рынка России</w:t>
      </w:r>
      <w:bookmarkEnd w:id="2"/>
    </w:p>
    <w:p w:rsidR="00454B3D" w:rsidRDefault="00454B3D" w:rsidP="00454B3D">
      <w:pPr>
        <w:pStyle w:val="a5"/>
        <w:spacing w:line="360" w:lineRule="auto"/>
        <w:jc w:val="both"/>
        <w:rPr>
          <w:rFonts w:ascii="Times New Roman" w:hAnsi="Times New Roman" w:cs="Times New Roman"/>
          <w:sz w:val="28"/>
          <w:szCs w:val="28"/>
        </w:rPr>
      </w:pPr>
    </w:p>
    <w:p w:rsidR="00454B3D" w:rsidRPr="0044027A" w:rsidRDefault="0044027A" w:rsidP="0044027A">
      <w:pPr>
        <w:pStyle w:val="a5"/>
        <w:spacing w:line="360" w:lineRule="auto"/>
        <w:ind w:firstLine="709"/>
        <w:jc w:val="both"/>
        <w:rPr>
          <w:rFonts w:ascii="Times New Roman" w:hAnsi="Times New Roman" w:cs="Times New Roman"/>
          <w:sz w:val="28"/>
          <w:szCs w:val="28"/>
        </w:rPr>
      </w:pPr>
      <w:r w:rsidRPr="0044027A">
        <w:rPr>
          <w:rFonts w:ascii="Times New Roman" w:hAnsi="Times New Roman" w:cs="Times New Roman"/>
          <w:sz w:val="28"/>
          <w:szCs w:val="28"/>
        </w:rPr>
        <w:t>Страховой рынок является определенным сферой денежных отношений, в которой объектом купли-продажи есть страховые услуги.</w:t>
      </w:r>
    </w:p>
    <w:p w:rsidR="0044027A" w:rsidRDefault="0044027A" w:rsidP="0044027A">
      <w:pPr>
        <w:pStyle w:val="a5"/>
        <w:spacing w:line="360" w:lineRule="auto"/>
        <w:ind w:firstLine="709"/>
        <w:jc w:val="both"/>
        <w:rPr>
          <w:rFonts w:ascii="Times New Roman" w:hAnsi="Times New Roman" w:cs="Times New Roman"/>
          <w:sz w:val="28"/>
          <w:szCs w:val="28"/>
        </w:rPr>
      </w:pPr>
      <w:r w:rsidRPr="00F52240">
        <w:rPr>
          <w:rFonts w:ascii="Times New Roman" w:hAnsi="Times New Roman" w:cs="Times New Roman"/>
          <w:sz w:val="28"/>
          <w:szCs w:val="28"/>
        </w:rPr>
        <w:t xml:space="preserve">Исследователь </w:t>
      </w:r>
      <w:r w:rsidR="00F52240" w:rsidRPr="00F52240">
        <w:rPr>
          <w:rFonts w:ascii="Times New Roman" w:hAnsi="Times New Roman" w:cs="Times New Roman"/>
          <w:sz w:val="28"/>
          <w:szCs w:val="28"/>
        </w:rPr>
        <w:t>В. А. Красников</w:t>
      </w:r>
      <w:r w:rsidR="00F52240">
        <w:rPr>
          <w:rFonts w:ascii="Times New Roman" w:hAnsi="Times New Roman" w:cs="Times New Roman"/>
          <w:sz w:val="28"/>
          <w:szCs w:val="28"/>
        </w:rPr>
        <w:t xml:space="preserve"> </w:t>
      </w:r>
      <w:r w:rsidRPr="00F52240">
        <w:rPr>
          <w:rFonts w:ascii="Times New Roman" w:hAnsi="Times New Roman" w:cs="Times New Roman"/>
          <w:sz w:val="28"/>
          <w:szCs w:val="28"/>
        </w:rPr>
        <w:t>считает, что страховой рынок является составляющей как финансового рынка (рынка денег и рынка капиталов, поскольку на этих рынках страховые компании размещают свои капиталы, используя определенные финансовые инструменты), да и рынка финансовых услуг, поскольку страховые компании как финансовые посредники привлекают</w:t>
      </w:r>
      <w:r w:rsidRPr="0044027A">
        <w:rPr>
          <w:rFonts w:ascii="Times New Roman" w:hAnsi="Times New Roman" w:cs="Times New Roman"/>
          <w:sz w:val="28"/>
          <w:szCs w:val="28"/>
        </w:rPr>
        <w:t xml:space="preserve"> средства страхователей, продавая страховые услуги</w:t>
      </w:r>
      <w:r w:rsidR="00F52240">
        <w:rPr>
          <w:rStyle w:val="af0"/>
          <w:rFonts w:ascii="Times New Roman" w:hAnsi="Times New Roman" w:cs="Times New Roman"/>
          <w:sz w:val="28"/>
          <w:szCs w:val="28"/>
        </w:rPr>
        <w:footnoteReference w:id="1"/>
      </w:r>
      <w:r w:rsidRPr="0044027A">
        <w:rPr>
          <w:rFonts w:ascii="Times New Roman" w:hAnsi="Times New Roman" w:cs="Times New Roman"/>
          <w:sz w:val="28"/>
          <w:szCs w:val="28"/>
        </w:rPr>
        <w:t xml:space="preserve">. </w:t>
      </w:r>
    </w:p>
    <w:p w:rsidR="0044027A" w:rsidRPr="0074177C" w:rsidRDefault="00F52240" w:rsidP="0044027A">
      <w:pPr>
        <w:pStyle w:val="a5"/>
        <w:spacing w:line="360" w:lineRule="auto"/>
        <w:ind w:firstLine="709"/>
        <w:jc w:val="both"/>
        <w:rPr>
          <w:rFonts w:ascii="Times New Roman" w:hAnsi="Times New Roman" w:cs="Times New Roman"/>
          <w:sz w:val="28"/>
          <w:szCs w:val="28"/>
        </w:rPr>
      </w:pPr>
      <w:r w:rsidRPr="0074177C">
        <w:rPr>
          <w:rFonts w:ascii="Times New Roman" w:hAnsi="Times New Roman" w:cs="Times New Roman"/>
          <w:sz w:val="28"/>
          <w:szCs w:val="28"/>
        </w:rPr>
        <w:t>О.А. Гришина</w:t>
      </w:r>
      <w:r w:rsidR="0074177C">
        <w:rPr>
          <w:rFonts w:ascii="Times New Roman" w:hAnsi="Times New Roman" w:cs="Times New Roman"/>
          <w:sz w:val="28"/>
          <w:szCs w:val="28"/>
        </w:rPr>
        <w:t> </w:t>
      </w:r>
      <w:r w:rsidRPr="0074177C">
        <w:rPr>
          <w:rStyle w:val="af0"/>
          <w:rFonts w:ascii="Times New Roman" w:hAnsi="Times New Roman" w:cs="Times New Roman"/>
          <w:sz w:val="28"/>
          <w:szCs w:val="28"/>
        </w:rPr>
        <w:footnoteReference w:id="2"/>
      </w:r>
      <w:r w:rsidR="0074177C">
        <w:rPr>
          <w:rFonts w:ascii="Times New Roman" w:hAnsi="Times New Roman" w:cs="Times New Roman"/>
          <w:sz w:val="28"/>
          <w:szCs w:val="28"/>
        </w:rPr>
        <w:t> </w:t>
      </w:r>
      <w:r w:rsidR="0074177C" w:rsidRPr="0074177C">
        <w:rPr>
          <w:rFonts w:ascii="Times New Roman" w:hAnsi="Times New Roman" w:cs="Times New Roman"/>
          <w:sz w:val="28"/>
          <w:szCs w:val="28"/>
        </w:rPr>
        <w:t>«с</w:t>
      </w:r>
      <w:r w:rsidR="0044027A" w:rsidRPr="0074177C">
        <w:rPr>
          <w:rFonts w:ascii="Times New Roman" w:hAnsi="Times New Roman" w:cs="Times New Roman"/>
          <w:sz w:val="28"/>
          <w:szCs w:val="28"/>
        </w:rPr>
        <w:t>овокупность финансово-экономических отношений, благодаря которым перераспределяется часть национального дохода и совокупного общественного продукта путем особого метода образования страхового фонда денежных ресурсов</w:t>
      </w:r>
      <w:r w:rsidR="0074177C" w:rsidRPr="0074177C">
        <w:rPr>
          <w:rFonts w:ascii="Times New Roman" w:hAnsi="Times New Roman" w:cs="Times New Roman"/>
          <w:sz w:val="28"/>
          <w:szCs w:val="28"/>
        </w:rPr>
        <w:t>»</w:t>
      </w:r>
      <w:r w:rsidR="0044027A" w:rsidRPr="0074177C">
        <w:rPr>
          <w:rFonts w:ascii="Times New Roman" w:hAnsi="Times New Roman" w:cs="Times New Roman"/>
          <w:sz w:val="28"/>
          <w:szCs w:val="28"/>
        </w:rPr>
        <w:t>.</w:t>
      </w:r>
    </w:p>
    <w:p w:rsidR="00454B3D" w:rsidRPr="0044027A" w:rsidRDefault="0044027A" w:rsidP="0044027A">
      <w:pPr>
        <w:pStyle w:val="a5"/>
        <w:spacing w:line="360" w:lineRule="auto"/>
        <w:ind w:firstLine="709"/>
        <w:jc w:val="both"/>
        <w:rPr>
          <w:rFonts w:ascii="Times New Roman" w:hAnsi="Times New Roman" w:cs="Times New Roman"/>
          <w:sz w:val="28"/>
          <w:szCs w:val="28"/>
        </w:rPr>
      </w:pPr>
      <w:r w:rsidRPr="0074177C">
        <w:rPr>
          <w:rFonts w:ascii="Times New Roman" w:hAnsi="Times New Roman" w:cs="Times New Roman"/>
          <w:sz w:val="28"/>
          <w:szCs w:val="28"/>
        </w:rPr>
        <w:t xml:space="preserve"> </w:t>
      </w:r>
      <w:r w:rsidR="0074177C" w:rsidRPr="0074177C">
        <w:rPr>
          <w:rFonts w:ascii="Times New Roman" w:hAnsi="Times New Roman" w:cs="Times New Roman"/>
          <w:sz w:val="28"/>
          <w:szCs w:val="28"/>
        </w:rPr>
        <w:t xml:space="preserve">Д. А. </w:t>
      </w:r>
      <w:proofErr w:type="spellStart"/>
      <w:r w:rsidR="0074177C" w:rsidRPr="0074177C">
        <w:rPr>
          <w:rFonts w:ascii="Times New Roman" w:hAnsi="Times New Roman" w:cs="Times New Roman"/>
          <w:sz w:val="28"/>
          <w:szCs w:val="28"/>
        </w:rPr>
        <w:t>Похунова</w:t>
      </w:r>
      <w:proofErr w:type="spellEnd"/>
      <w:r w:rsidR="0074177C" w:rsidRPr="0074177C">
        <w:rPr>
          <w:rStyle w:val="af0"/>
          <w:rFonts w:ascii="Times New Roman" w:hAnsi="Times New Roman" w:cs="Times New Roman"/>
          <w:sz w:val="28"/>
          <w:szCs w:val="28"/>
        </w:rPr>
        <w:t xml:space="preserve"> </w:t>
      </w:r>
      <w:r w:rsidR="00F52240" w:rsidRPr="0074177C">
        <w:rPr>
          <w:rStyle w:val="af0"/>
          <w:rFonts w:ascii="Times New Roman" w:hAnsi="Times New Roman" w:cs="Times New Roman"/>
          <w:sz w:val="28"/>
          <w:szCs w:val="28"/>
        </w:rPr>
        <w:footnoteReference w:id="3"/>
      </w:r>
      <w:r w:rsidR="0074177C" w:rsidRPr="0074177C">
        <w:rPr>
          <w:rFonts w:ascii="Times New Roman" w:hAnsi="Times New Roman" w:cs="Times New Roman"/>
          <w:sz w:val="28"/>
          <w:szCs w:val="28"/>
        </w:rPr>
        <w:t xml:space="preserve"> отмечает, что страховой рынок </w:t>
      </w:r>
      <w:proofErr w:type="gramStart"/>
      <w:r w:rsidR="0074177C" w:rsidRPr="0074177C">
        <w:rPr>
          <w:rFonts w:ascii="Times New Roman" w:hAnsi="Times New Roman" w:cs="Times New Roman"/>
          <w:sz w:val="28"/>
          <w:szCs w:val="28"/>
        </w:rPr>
        <w:t>-это</w:t>
      </w:r>
      <w:proofErr w:type="gramEnd"/>
      <w:r w:rsidR="0074177C" w:rsidRPr="0074177C">
        <w:rPr>
          <w:rFonts w:ascii="Times New Roman" w:hAnsi="Times New Roman" w:cs="Times New Roman"/>
          <w:sz w:val="28"/>
          <w:szCs w:val="28"/>
        </w:rPr>
        <w:t xml:space="preserve"> ф</w:t>
      </w:r>
      <w:r w:rsidRPr="0074177C">
        <w:rPr>
          <w:rFonts w:ascii="Times New Roman" w:hAnsi="Times New Roman" w:cs="Times New Roman"/>
          <w:sz w:val="28"/>
          <w:szCs w:val="28"/>
        </w:rPr>
        <w:t>орма организации денежных отношений по формированию и распределению страхового фонда для обеспечения страховой</w:t>
      </w:r>
      <w:r w:rsidRPr="0044027A">
        <w:rPr>
          <w:rFonts w:ascii="Times New Roman" w:hAnsi="Times New Roman" w:cs="Times New Roman"/>
          <w:sz w:val="28"/>
          <w:szCs w:val="28"/>
        </w:rPr>
        <w:t xml:space="preserve"> защиты общества</w:t>
      </w:r>
      <w:r w:rsidR="0074177C">
        <w:rPr>
          <w:rFonts w:ascii="Times New Roman" w:hAnsi="Times New Roman" w:cs="Times New Roman"/>
          <w:sz w:val="28"/>
          <w:szCs w:val="28"/>
        </w:rPr>
        <w:t>.</w:t>
      </w:r>
    </w:p>
    <w:p w:rsidR="0044027A" w:rsidRPr="0044027A" w:rsidRDefault="0044027A" w:rsidP="0044027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4027A">
        <w:rPr>
          <w:rFonts w:ascii="Times New Roman" w:hAnsi="Times New Roman" w:cs="Times New Roman"/>
          <w:sz w:val="28"/>
          <w:szCs w:val="28"/>
        </w:rPr>
        <w:t>бобщая взгляды ученых, страховой рынок можем охарактеризовать как совокупность разных институтов и механизмов, направленных на снижение потерь и рисков участников страхового рынка. Ими могут быть страховщики, страхователи, застрахованные, выгодоприобретатели, посредники, а также ассоциации страховщиков</w:t>
      </w:r>
    </w:p>
    <w:p w:rsidR="0044027A" w:rsidRDefault="0044027A" w:rsidP="0044027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44027A">
        <w:rPr>
          <w:rFonts w:ascii="Times New Roman" w:hAnsi="Times New Roman" w:cs="Times New Roman"/>
          <w:sz w:val="28"/>
          <w:szCs w:val="28"/>
        </w:rPr>
        <w:t xml:space="preserve">ункционирование мощного рынка страховых услуг невозможны для создания эффективной системы защиты имущественных интересов физических и юридических лиц, обеспечение экономической сохранности </w:t>
      </w:r>
      <w:r w:rsidRPr="0044027A">
        <w:rPr>
          <w:rFonts w:ascii="Times New Roman" w:hAnsi="Times New Roman" w:cs="Times New Roman"/>
          <w:sz w:val="28"/>
          <w:szCs w:val="28"/>
        </w:rPr>
        <w:lastRenderedPageBreak/>
        <w:t>страны. Кроме того, страхование является важным источником аккумулирования средств для дальнейшего их использования для компенсации ущерба, причиненного вследствие страховых событий, а также защищает бизнес от финансовых рисков и обеспечивает социальную поддержку.</w:t>
      </w:r>
    </w:p>
    <w:p w:rsidR="001E21EA" w:rsidRPr="001E21EA" w:rsidRDefault="001E21EA" w:rsidP="001E21EA">
      <w:pPr>
        <w:pStyle w:val="a5"/>
        <w:spacing w:line="360" w:lineRule="auto"/>
        <w:ind w:firstLine="709"/>
        <w:jc w:val="both"/>
        <w:rPr>
          <w:rFonts w:ascii="Times New Roman" w:hAnsi="Times New Roman" w:cs="Times New Roman"/>
          <w:sz w:val="28"/>
          <w:szCs w:val="28"/>
        </w:rPr>
      </w:pPr>
      <w:r w:rsidRPr="001E21EA">
        <w:rPr>
          <w:rFonts w:ascii="Times New Roman" w:hAnsi="Times New Roman" w:cs="Times New Roman"/>
          <w:sz w:val="28"/>
          <w:szCs w:val="28"/>
        </w:rPr>
        <w:t xml:space="preserve">Рассмотрим </w:t>
      </w:r>
      <w:r w:rsidR="00321137" w:rsidRPr="001E21EA">
        <w:rPr>
          <w:rFonts w:ascii="Times New Roman" w:hAnsi="Times New Roman" w:cs="Times New Roman"/>
          <w:sz w:val="28"/>
          <w:szCs w:val="28"/>
        </w:rPr>
        <w:t>основные правовые нормы,</w:t>
      </w:r>
      <w:r w:rsidRPr="001E21EA">
        <w:rPr>
          <w:rFonts w:ascii="Times New Roman" w:hAnsi="Times New Roman" w:cs="Times New Roman"/>
          <w:sz w:val="28"/>
          <w:szCs w:val="28"/>
        </w:rPr>
        <w:t xml:space="preserve"> регулирующие страховой рынок России. Прежде всего это:</w:t>
      </w:r>
    </w:p>
    <w:p w:rsidR="001E21EA" w:rsidRPr="001E21EA" w:rsidRDefault="00321137" w:rsidP="001E21E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E21EA" w:rsidRPr="001E21EA">
        <w:rPr>
          <w:rFonts w:ascii="Times New Roman" w:hAnsi="Times New Roman" w:cs="Times New Roman"/>
          <w:sz w:val="28"/>
          <w:szCs w:val="28"/>
        </w:rPr>
        <w:t xml:space="preserve"> </w:t>
      </w:r>
      <w:r w:rsidR="00525A8A" w:rsidRPr="001E21EA">
        <w:rPr>
          <w:rFonts w:ascii="Times New Roman" w:hAnsi="Times New Roman" w:cs="Times New Roman"/>
          <w:sz w:val="28"/>
          <w:szCs w:val="28"/>
        </w:rPr>
        <w:t>Конституция Российской Федерации, устанавливающая положения о социальной защите и медицинском обеспечении (ст. ст. 7, 39, 41) и об экономической свободе субъектов (ст. 8), реализация которых происходит в ходе осуществления страховых правоотношений</w:t>
      </w:r>
      <w:r>
        <w:rPr>
          <w:rFonts w:ascii="Times New Roman" w:hAnsi="Times New Roman" w:cs="Times New Roman"/>
          <w:sz w:val="28"/>
          <w:szCs w:val="28"/>
        </w:rPr>
        <w:t>;</w:t>
      </w:r>
    </w:p>
    <w:p w:rsidR="001E21EA" w:rsidRPr="001E21EA" w:rsidRDefault="00321137" w:rsidP="001E21E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25A8A" w:rsidRPr="001E21EA">
        <w:rPr>
          <w:rFonts w:ascii="Times New Roman" w:hAnsi="Times New Roman" w:cs="Times New Roman"/>
          <w:sz w:val="28"/>
          <w:szCs w:val="28"/>
        </w:rPr>
        <w:t xml:space="preserve"> Гражданский Кодекс Российской Федерации (далее − ГК РФ) определяет основные положения в реализации отношений в данной области [2]. ГК РФ регламентирует различные виды страхования, выделяя обязательное, добровольное, имущественное, личное, страхование предпринимательского риска, гражданской ответственности</w:t>
      </w:r>
      <w:r>
        <w:rPr>
          <w:rFonts w:ascii="Times New Roman" w:hAnsi="Times New Roman" w:cs="Times New Roman"/>
          <w:sz w:val="28"/>
          <w:szCs w:val="28"/>
        </w:rPr>
        <w:t>;</w:t>
      </w:r>
    </w:p>
    <w:p w:rsidR="001E21EA" w:rsidRPr="001E21EA" w:rsidRDefault="00321137" w:rsidP="001E21E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00525A8A" w:rsidRPr="001E21EA">
        <w:rPr>
          <w:rFonts w:ascii="Times New Roman" w:hAnsi="Times New Roman" w:cs="Times New Roman"/>
          <w:sz w:val="28"/>
          <w:szCs w:val="28"/>
        </w:rPr>
        <w:t>едеральный закон «Об организации страхового дела в Российской Федерации»</w:t>
      </w:r>
      <w:r w:rsidR="0074177C">
        <w:rPr>
          <w:rStyle w:val="af0"/>
          <w:rFonts w:ascii="Times New Roman" w:hAnsi="Times New Roman" w:cs="Times New Roman"/>
          <w:sz w:val="28"/>
          <w:szCs w:val="28"/>
        </w:rPr>
        <w:footnoteReference w:id="4"/>
      </w:r>
      <w:r w:rsidR="00525A8A" w:rsidRPr="001E21EA">
        <w:rPr>
          <w:rFonts w:ascii="Times New Roman" w:hAnsi="Times New Roman" w:cs="Times New Roman"/>
          <w:sz w:val="28"/>
          <w:szCs w:val="28"/>
        </w:rPr>
        <w:t xml:space="preserve">. В нем подробно описывается именно деятельность по осуществлению страховых правоотношений, определяются основополагающие термины в данном институте, участники правоотношения и требования, предъявленные к ним, фиксируется осуществление надзора за страховой деятельностью. </w:t>
      </w:r>
    </w:p>
    <w:p w:rsidR="001E21EA" w:rsidRPr="001E21EA" w:rsidRDefault="00525A8A" w:rsidP="001E21EA">
      <w:pPr>
        <w:pStyle w:val="a5"/>
        <w:spacing w:line="360" w:lineRule="auto"/>
        <w:ind w:firstLine="709"/>
        <w:jc w:val="both"/>
        <w:rPr>
          <w:rFonts w:ascii="Times New Roman" w:hAnsi="Times New Roman" w:cs="Times New Roman"/>
          <w:sz w:val="28"/>
          <w:szCs w:val="28"/>
        </w:rPr>
      </w:pPr>
      <w:r w:rsidRPr="001E21EA">
        <w:rPr>
          <w:rFonts w:ascii="Times New Roman" w:hAnsi="Times New Roman" w:cs="Times New Roman"/>
          <w:sz w:val="28"/>
          <w:szCs w:val="28"/>
        </w:rPr>
        <w:t xml:space="preserve">Регулирование обеспечивается также подзаконными актами, к примеру, указы и указания Банка </w:t>
      </w:r>
      <w:r w:rsidR="00321137" w:rsidRPr="001E21EA">
        <w:rPr>
          <w:rFonts w:ascii="Times New Roman" w:hAnsi="Times New Roman" w:cs="Times New Roman"/>
          <w:sz w:val="28"/>
          <w:szCs w:val="28"/>
        </w:rPr>
        <w:t>России в силу того, что</w:t>
      </w:r>
      <w:r w:rsidRPr="001E21EA">
        <w:rPr>
          <w:rFonts w:ascii="Times New Roman" w:hAnsi="Times New Roman" w:cs="Times New Roman"/>
          <w:sz w:val="28"/>
          <w:szCs w:val="28"/>
        </w:rPr>
        <w:t xml:space="preserve"> ЦБ РФ является органом страхового надзора. Правительство РФ издаёт постановления, являющиеся значимыми в сфере страхования и оказывающие помощь в осуществлении страховой деятельности [8,9]. Среди прочих подзаконных </w:t>
      </w:r>
      <w:r w:rsidRPr="001E21EA">
        <w:rPr>
          <w:rFonts w:ascii="Times New Roman" w:hAnsi="Times New Roman" w:cs="Times New Roman"/>
          <w:sz w:val="28"/>
          <w:szCs w:val="28"/>
        </w:rPr>
        <w:lastRenderedPageBreak/>
        <w:t>актов выделить важно указы Президента РФ, например, «Об основных направлениях государственной политики в сфере обязательного страхования». Правовое регулирование страховых правоотношений реализовывается множеством нормативно-правовых актов, из чего следует одна из существенных проблем в сфере урегулирования данного института − отсутствие чёткой системы и упорядоченности законодательства.</w:t>
      </w:r>
    </w:p>
    <w:p w:rsidR="00525A8A" w:rsidRPr="0044027A" w:rsidRDefault="00525A8A" w:rsidP="0044027A">
      <w:pPr>
        <w:pStyle w:val="a5"/>
        <w:spacing w:line="360" w:lineRule="auto"/>
        <w:ind w:firstLine="709"/>
        <w:jc w:val="both"/>
        <w:rPr>
          <w:rFonts w:ascii="Times New Roman" w:hAnsi="Times New Roman" w:cs="Times New Roman"/>
          <w:sz w:val="28"/>
          <w:szCs w:val="28"/>
        </w:rPr>
      </w:pPr>
      <w:r>
        <w:rPr>
          <w:rFonts w:ascii="Arial" w:hAnsi="Arial" w:cs="Arial"/>
          <w:color w:val="333333"/>
          <w:sz w:val="27"/>
          <w:szCs w:val="27"/>
        </w:rPr>
        <w:br/>
      </w:r>
    </w:p>
    <w:p w:rsidR="00454B3D" w:rsidRDefault="00454B3D" w:rsidP="00454B3D">
      <w:pPr>
        <w:pStyle w:val="a5"/>
        <w:spacing w:line="360" w:lineRule="auto"/>
        <w:jc w:val="both"/>
        <w:rPr>
          <w:rFonts w:ascii="Times New Roman" w:hAnsi="Times New Roman" w:cs="Times New Roman"/>
          <w:sz w:val="28"/>
          <w:szCs w:val="28"/>
        </w:rPr>
      </w:pPr>
    </w:p>
    <w:p w:rsidR="00454B3D" w:rsidRPr="0044027A" w:rsidRDefault="00454B3D" w:rsidP="00321137">
      <w:pPr>
        <w:pStyle w:val="a5"/>
        <w:numPr>
          <w:ilvl w:val="0"/>
          <w:numId w:val="1"/>
        </w:numPr>
        <w:spacing w:line="360" w:lineRule="auto"/>
        <w:jc w:val="center"/>
        <w:outlineLvl w:val="0"/>
        <w:rPr>
          <w:rFonts w:ascii="Times New Roman" w:hAnsi="Times New Roman" w:cs="Times New Roman"/>
          <w:b/>
          <w:sz w:val="28"/>
          <w:szCs w:val="28"/>
        </w:rPr>
      </w:pPr>
      <w:bookmarkStart w:id="3" w:name="_Toc104221804"/>
      <w:r w:rsidRPr="0044027A">
        <w:rPr>
          <w:rFonts w:ascii="Times New Roman" w:hAnsi="Times New Roman" w:cs="Times New Roman"/>
          <w:b/>
          <w:sz w:val="28"/>
          <w:szCs w:val="28"/>
        </w:rPr>
        <w:t>Страховая деятельность в Российской Федерации 2020-2022</w:t>
      </w:r>
      <w:bookmarkEnd w:id="3"/>
    </w:p>
    <w:p w:rsidR="00454B3D" w:rsidRDefault="00454B3D" w:rsidP="00454B3D">
      <w:pPr>
        <w:pStyle w:val="a5"/>
        <w:spacing w:line="360" w:lineRule="auto"/>
        <w:jc w:val="both"/>
        <w:rPr>
          <w:rFonts w:ascii="Times New Roman" w:hAnsi="Times New Roman" w:cs="Times New Roman"/>
          <w:sz w:val="28"/>
          <w:szCs w:val="28"/>
        </w:rPr>
      </w:pPr>
    </w:p>
    <w:p w:rsidR="003F53A4" w:rsidRPr="00574E72" w:rsidRDefault="003F53A4" w:rsidP="00574E72">
      <w:pPr>
        <w:pStyle w:val="a5"/>
        <w:spacing w:line="360" w:lineRule="auto"/>
        <w:ind w:firstLine="709"/>
        <w:jc w:val="both"/>
        <w:rPr>
          <w:rFonts w:ascii="Times New Roman" w:hAnsi="Times New Roman" w:cs="Times New Roman"/>
          <w:sz w:val="28"/>
          <w:szCs w:val="28"/>
        </w:rPr>
      </w:pPr>
    </w:p>
    <w:p w:rsidR="00BE07E1" w:rsidRDefault="0044027A"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Проведём исследование страховой деятельности в России. </w:t>
      </w:r>
      <w:r w:rsidR="001E21EA">
        <w:rPr>
          <w:rFonts w:ascii="Times New Roman" w:hAnsi="Times New Roman" w:cs="Times New Roman"/>
          <w:sz w:val="28"/>
          <w:szCs w:val="28"/>
        </w:rPr>
        <w:t>Динамика страхового рынка 2020-2022 гг. отражена на рисунке 1</w:t>
      </w:r>
      <w:r w:rsidR="0074177C">
        <w:rPr>
          <w:rStyle w:val="af0"/>
          <w:rFonts w:ascii="Times New Roman" w:hAnsi="Times New Roman" w:cs="Times New Roman"/>
          <w:sz w:val="28"/>
          <w:szCs w:val="28"/>
        </w:rPr>
        <w:footnoteReference w:id="5"/>
      </w:r>
      <w:r w:rsidR="001E21EA">
        <w:rPr>
          <w:rFonts w:ascii="Times New Roman" w:hAnsi="Times New Roman" w:cs="Times New Roman"/>
          <w:sz w:val="28"/>
          <w:szCs w:val="28"/>
        </w:rPr>
        <w:t>.</w:t>
      </w:r>
    </w:p>
    <w:p w:rsidR="001E21EA" w:rsidRDefault="00992D5E" w:rsidP="00574E72">
      <w:pPr>
        <w:pStyle w:val="a5"/>
        <w:spacing w:line="360" w:lineRule="auto"/>
        <w:ind w:firstLine="709"/>
        <w:jc w:val="both"/>
        <w:rPr>
          <w:rFonts w:ascii="Times New Roman" w:hAnsi="Times New Roman" w:cs="Times New Roman"/>
          <w:sz w:val="28"/>
          <w:szCs w:val="28"/>
        </w:rPr>
      </w:pPr>
      <w:r>
        <w:rPr>
          <w:noProof/>
        </w:rPr>
        <w:drawing>
          <wp:inline distT="0" distB="0" distL="0" distR="0" wp14:anchorId="1DB2BFB5" wp14:editId="6D714F41">
            <wp:extent cx="4572000" cy="2971800"/>
            <wp:effectExtent l="0" t="0" r="0" b="0"/>
            <wp:docPr id="3" name="Диаграмма 3">
              <a:extLst xmlns:a="http://schemas.openxmlformats.org/drawingml/2006/main">
                <a:ext uri="{FF2B5EF4-FFF2-40B4-BE49-F238E27FC236}">
                  <a16:creationId xmlns:a16="http://schemas.microsoft.com/office/drawing/2014/main" id="{CC5A23C2-6A8B-413A-AF3A-39E83CE5F6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2D5E" w:rsidRDefault="00992D5E" w:rsidP="00F2194C">
      <w:pPr>
        <w:pStyle w:val="a5"/>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 Страховой рынок России</w:t>
      </w:r>
    </w:p>
    <w:p w:rsidR="00992D5E" w:rsidRDefault="00992D5E" w:rsidP="00BE07E1">
      <w:pPr>
        <w:pStyle w:val="a5"/>
        <w:spacing w:line="360" w:lineRule="auto"/>
        <w:ind w:firstLine="709"/>
        <w:jc w:val="both"/>
        <w:rPr>
          <w:rFonts w:ascii="Times New Roman" w:hAnsi="Times New Roman" w:cs="Times New Roman"/>
          <w:sz w:val="28"/>
          <w:szCs w:val="28"/>
        </w:rPr>
      </w:pPr>
    </w:p>
    <w:p w:rsidR="00F2194C" w:rsidRPr="00321137" w:rsidRDefault="00F2194C" w:rsidP="00321137">
      <w:pPr>
        <w:pStyle w:val="a5"/>
        <w:spacing w:line="360" w:lineRule="auto"/>
        <w:ind w:firstLine="709"/>
        <w:jc w:val="both"/>
        <w:rPr>
          <w:rFonts w:ascii="Times New Roman" w:hAnsi="Times New Roman" w:cs="Times New Roman"/>
          <w:sz w:val="28"/>
          <w:szCs w:val="28"/>
        </w:rPr>
      </w:pPr>
      <w:r w:rsidRPr="00321137">
        <w:rPr>
          <w:rFonts w:ascii="Times New Roman" w:hAnsi="Times New Roman" w:cs="Times New Roman"/>
          <w:sz w:val="28"/>
          <w:szCs w:val="28"/>
        </w:rPr>
        <w:lastRenderedPageBreak/>
        <w:t>По данным Банка России, российский страховой рынок в 2020 году</w:t>
      </w:r>
      <w:r w:rsidR="00C5037E">
        <w:rPr>
          <w:rFonts w:ascii="Times New Roman" w:hAnsi="Times New Roman" w:cs="Times New Roman"/>
          <w:sz w:val="28"/>
          <w:szCs w:val="28"/>
        </w:rPr>
        <w:t xml:space="preserve"> в сравнении с 2019 </w:t>
      </w:r>
      <w:r w:rsidR="0074177C">
        <w:rPr>
          <w:rFonts w:ascii="Times New Roman" w:hAnsi="Times New Roman" w:cs="Times New Roman"/>
          <w:sz w:val="28"/>
          <w:szCs w:val="28"/>
        </w:rPr>
        <w:t xml:space="preserve">годом </w:t>
      </w:r>
      <w:r w:rsidR="0074177C" w:rsidRPr="00321137">
        <w:rPr>
          <w:rFonts w:ascii="Times New Roman" w:hAnsi="Times New Roman" w:cs="Times New Roman"/>
          <w:sz w:val="28"/>
          <w:szCs w:val="28"/>
        </w:rPr>
        <w:t>вырос</w:t>
      </w:r>
      <w:r w:rsidRPr="00321137">
        <w:rPr>
          <w:rFonts w:ascii="Times New Roman" w:hAnsi="Times New Roman" w:cs="Times New Roman"/>
          <w:sz w:val="28"/>
          <w:szCs w:val="28"/>
        </w:rPr>
        <w:t xml:space="preserve"> на 4,1%, а объем страховых премий превысил 1,5 трлн рублей. Совокупные выплаты по всем видам страхования увеличились за год на 8,1%, до 659,3 млрд рублей. 2021 году страховой рынок России показал рекордный рост показателей:</w:t>
      </w:r>
      <w:r w:rsidR="00321137">
        <w:rPr>
          <w:rFonts w:ascii="Times New Roman" w:hAnsi="Times New Roman" w:cs="Times New Roman"/>
          <w:sz w:val="28"/>
          <w:szCs w:val="28"/>
        </w:rPr>
        <w:t xml:space="preserve"> </w:t>
      </w:r>
      <w:r w:rsidRPr="00321137">
        <w:rPr>
          <w:rFonts w:ascii="Times New Roman" w:hAnsi="Times New Roman" w:cs="Times New Roman"/>
          <w:sz w:val="28"/>
          <w:szCs w:val="28"/>
        </w:rPr>
        <w:t>объем собранных премий увеличился на 18% (+269.59 млрд рублей) и достиг 1.808 трлн рублей;</w:t>
      </w:r>
      <w:r w:rsidR="00321137">
        <w:rPr>
          <w:rFonts w:ascii="Times New Roman" w:hAnsi="Times New Roman" w:cs="Times New Roman"/>
          <w:sz w:val="28"/>
          <w:szCs w:val="28"/>
        </w:rPr>
        <w:t xml:space="preserve"> </w:t>
      </w:r>
      <w:r w:rsidRPr="00321137">
        <w:rPr>
          <w:rFonts w:ascii="Times New Roman" w:hAnsi="Times New Roman" w:cs="Times New Roman"/>
          <w:sz w:val="28"/>
          <w:szCs w:val="28"/>
        </w:rPr>
        <w:t>объем произведенных выплат вырос на 21% (+138.33 млрд рублей) и составил 796.97 млрд рублей.</w:t>
      </w:r>
      <w:r w:rsidR="00C5037E">
        <w:rPr>
          <w:rFonts w:ascii="Times New Roman" w:hAnsi="Times New Roman" w:cs="Times New Roman"/>
          <w:sz w:val="28"/>
          <w:szCs w:val="28"/>
        </w:rPr>
        <w:t xml:space="preserve"> </w:t>
      </w:r>
      <w:r w:rsidR="00C5037E" w:rsidRPr="00574E72">
        <w:rPr>
          <w:rFonts w:ascii="Times New Roman" w:hAnsi="Times New Roman" w:cs="Times New Roman"/>
          <w:sz w:val="28"/>
          <w:szCs w:val="28"/>
        </w:rPr>
        <w:t>Отношение выплат и премий по страховым продуктам выросло до 44,1%, что является достаточно высоким показателем выплат. </w:t>
      </w:r>
    </w:p>
    <w:p w:rsidR="00C5037E" w:rsidRPr="00574E72" w:rsidRDefault="00BE07E1" w:rsidP="00C5037E">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По прогнозу «Эксперт РА» в 2022 году по сравнению с 2021-м страховой рынок вырастет на 7-9%, а его объем вплотную приблизится к 2 трлн рублей.</w:t>
      </w:r>
      <w:r w:rsidR="00C5037E">
        <w:rPr>
          <w:rFonts w:ascii="Times New Roman" w:hAnsi="Times New Roman" w:cs="Times New Roman"/>
          <w:sz w:val="28"/>
          <w:szCs w:val="28"/>
        </w:rPr>
        <w:t xml:space="preserve">  </w:t>
      </w:r>
      <w:r w:rsidR="00C5037E">
        <w:rPr>
          <w:rFonts w:ascii="Times New Roman" w:hAnsi="Times New Roman" w:cs="Times New Roman"/>
          <w:sz w:val="28"/>
          <w:szCs w:val="28"/>
        </w:rPr>
        <w:t xml:space="preserve"> Но в следствии</w:t>
      </w:r>
      <w:r w:rsidR="00C5037E" w:rsidRPr="00574E72">
        <w:rPr>
          <w:rFonts w:ascii="Times New Roman" w:hAnsi="Times New Roman" w:cs="Times New Roman"/>
          <w:sz w:val="28"/>
          <w:szCs w:val="28"/>
        </w:rPr>
        <w:t xml:space="preserve"> </w:t>
      </w:r>
      <w:r w:rsidR="00C5037E">
        <w:rPr>
          <w:rFonts w:ascii="Times New Roman" w:hAnsi="Times New Roman" w:cs="Times New Roman"/>
          <w:sz w:val="28"/>
          <w:szCs w:val="28"/>
        </w:rPr>
        <w:t>введения санкций и ухода с рынка зарубежных компаний прогноз может измениться</w:t>
      </w:r>
      <w:r w:rsidR="0074177C">
        <w:rPr>
          <w:rStyle w:val="af0"/>
          <w:rFonts w:ascii="Times New Roman" w:hAnsi="Times New Roman" w:cs="Times New Roman"/>
          <w:sz w:val="28"/>
          <w:szCs w:val="28"/>
        </w:rPr>
        <w:footnoteReference w:id="6"/>
      </w:r>
      <w:r w:rsidR="00C5037E">
        <w:rPr>
          <w:rFonts w:ascii="Times New Roman" w:hAnsi="Times New Roman" w:cs="Times New Roman"/>
          <w:sz w:val="28"/>
          <w:szCs w:val="28"/>
        </w:rPr>
        <w:t xml:space="preserve">.  </w:t>
      </w:r>
    </w:p>
    <w:p w:rsidR="00BE07E1" w:rsidRDefault="00F2194C" w:rsidP="00BE07E1">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Рассмотрим динамику рынка страхования по видам страхования</w:t>
      </w:r>
      <w:r w:rsidR="00321137">
        <w:rPr>
          <w:rFonts w:ascii="Times New Roman" w:hAnsi="Times New Roman" w:cs="Times New Roman"/>
          <w:sz w:val="28"/>
          <w:szCs w:val="28"/>
        </w:rPr>
        <w:t xml:space="preserve">. </w:t>
      </w:r>
      <w:r>
        <w:rPr>
          <w:rFonts w:ascii="Times New Roman" w:hAnsi="Times New Roman" w:cs="Times New Roman"/>
          <w:sz w:val="28"/>
          <w:szCs w:val="28"/>
        </w:rPr>
        <w:t>Так, п</w:t>
      </w:r>
      <w:r w:rsidR="00BE07E1" w:rsidRPr="00574E72">
        <w:rPr>
          <w:rFonts w:ascii="Times New Roman" w:hAnsi="Times New Roman" w:cs="Times New Roman"/>
          <w:sz w:val="28"/>
          <w:szCs w:val="28"/>
        </w:rPr>
        <w:t xml:space="preserve">о итогам 2021 года премии по </w:t>
      </w:r>
      <w:proofErr w:type="spellStart"/>
      <w:r w:rsidR="00BE07E1" w:rsidRPr="00574E72">
        <w:rPr>
          <w:rFonts w:ascii="Times New Roman" w:hAnsi="Times New Roman" w:cs="Times New Roman"/>
          <w:sz w:val="28"/>
          <w:szCs w:val="28"/>
        </w:rPr>
        <w:t>non-life</w:t>
      </w:r>
      <w:proofErr w:type="spellEnd"/>
      <w:r w:rsidR="00BE07E1" w:rsidRPr="00574E72">
        <w:rPr>
          <w:rFonts w:ascii="Times New Roman" w:hAnsi="Times New Roman" w:cs="Times New Roman"/>
          <w:sz w:val="28"/>
          <w:szCs w:val="28"/>
        </w:rPr>
        <w:t xml:space="preserve"> страхованию </w:t>
      </w:r>
      <w:r>
        <w:rPr>
          <w:rFonts w:ascii="Times New Roman" w:hAnsi="Times New Roman" w:cs="Times New Roman"/>
          <w:sz w:val="28"/>
          <w:szCs w:val="28"/>
        </w:rPr>
        <w:t>достигли показателя</w:t>
      </w:r>
      <w:r w:rsidR="00BE07E1" w:rsidRPr="00574E72">
        <w:rPr>
          <w:rFonts w:ascii="Times New Roman" w:hAnsi="Times New Roman" w:cs="Times New Roman"/>
          <w:sz w:val="28"/>
          <w:szCs w:val="28"/>
        </w:rPr>
        <w:t xml:space="preserve"> 1,28 трлн рублей (+15-16%)</w:t>
      </w:r>
      <w:r>
        <w:rPr>
          <w:rFonts w:ascii="Times New Roman" w:hAnsi="Times New Roman" w:cs="Times New Roman"/>
          <w:sz w:val="28"/>
          <w:szCs w:val="28"/>
        </w:rPr>
        <w:t>);</w:t>
      </w:r>
      <w:r w:rsidR="00BE07E1" w:rsidRPr="00574E72">
        <w:rPr>
          <w:rFonts w:ascii="Times New Roman" w:hAnsi="Times New Roman" w:cs="Times New Roman"/>
          <w:sz w:val="28"/>
          <w:szCs w:val="28"/>
        </w:rPr>
        <w:t xml:space="preserve"> страхованию жизни – 520 млрд рублей (+21%), а рынок в целом перешагнет отметку 1,8 трлн рублей (+17-18%). </w:t>
      </w: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Default="0074177C" w:rsidP="00BE07E1">
      <w:pPr>
        <w:pStyle w:val="a5"/>
        <w:spacing w:line="360" w:lineRule="auto"/>
        <w:ind w:firstLine="709"/>
        <w:jc w:val="both"/>
        <w:rPr>
          <w:rFonts w:ascii="Times New Roman" w:hAnsi="Times New Roman" w:cs="Times New Roman"/>
          <w:sz w:val="28"/>
          <w:szCs w:val="28"/>
        </w:rPr>
      </w:pPr>
    </w:p>
    <w:p w:rsidR="0074177C" w:rsidRPr="00574E72" w:rsidRDefault="0074177C" w:rsidP="00BE07E1">
      <w:pPr>
        <w:pStyle w:val="a5"/>
        <w:spacing w:line="360" w:lineRule="auto"/>
        <w:ind w:firstLine="709"/>
        <w:jc w:val="both"/>
        <w:rPr>
          <w:rFonts w:ascii="Times New Roman" w:hAnsi="Times New Roman" w:cs="Times New Roman"/>
          <w:sz w:val="28"/>
          <w:szCs w:val="28"/>
        </w:rPr>
      </w:pPr>
    </w:p>
    <w:p w:rsidR="00BE07E1" w:rsidRDefault="004E16C3"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741E">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8"/>
        <w:gridCol w:w="1281"/>
        <w:gridCol w:w="1590"/>
        <w:gridCol w:w="1281"/>
        <w:gridCol w:w="1590"/>
      </w:tblGrid>
      <w:tr w:rsidR="00BE07E1" w:rsidRPr="00870E5D" w:rsidTr="004C36B2">
        <w:tblPrEx>
          <w:tblCellMar>
            <w:top w:w="0" w:type="dxa"/>
            <w:left w:w="0" w:type="dxa"/>
            <w:bottom w:w="0" w:type="dxa"/>
            <w:right w:w="0" w:type="dxa"/>
          </w:tblCellMar>
        </w:tblPrEx>
        <w:trPr>
          <w:trHeight w:val="1224"/>
        </w:trPr>
        <w:tc>
          <w:tcPr>
            <w:tcW w:w="0" w:type="auto"/>
            <w:shd w:val="clear" w:color="auto" w:fill="FFFFFF"/>
          </w:tcPr>
          <w:p w:rsidR="00BE07E1" w:rsidRPr="00870E5D" w:rsidRDefault="00BE07E1" w:rsidP="004C36B2">
            <w:pPr>
              <w:pStyle w:val="a5"/>
              <w:jc w:val="center"/>
              <w:rPr>
                <w:rFonts w:ascii="Times New Roman" w:hAnsi="Times New Roman" w:cs="Times New Roman"/>
                <w:sz w:val="24"/>
                <w:szCs w:val="24"/>
              </w:rPr>
            </w:pPr>
            <w:r w:rsidRPr="00870E5D">
              <w:rPr>
                <w:rFonts w:ascii="Times New Roman" w:hAnsi="Times New Roman" w:cs="Times New Roman"/>
                <w:sz w:val="24"/>
                <w:szCs w:val="24"/>
              </w:rPr>
              <w:t>Вид страхования</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Премии, 2021,</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млрд рублей,</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прогноз</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Прогноз темпов</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прироста взносов,</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2021/2020</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Премии, 2022,</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млрд рублей,</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прогноз</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Прогноз темпов</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прироста взносов,</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2022/2021</w:t>
            </w:r>
          </w:p>
        </w:tc>
      </w:tr>
      <w:tr w:rsidR="00870E5D" w:rsidRPr="00870E5D" w:rsidTr="004C36B2">
        <w:tblPrEx>
          <w:tblCellMar>
            <w:top w:w="0" w:type="dxa"/>
            <w:left w:w="0" w:type="dxa"/>
            <w:bottom w:w="0" w:type="dxa"/>
            <w:right w:w="0" w:type="dxa"/>
          </w:tblCellMar>
        </w:tblPrEx>
        <w:trPr>
          <w:trHeight w:val="945"/>
        </w:trPr>
        <w:tc>
          <w:tcPr>
            <w:tcW w:w="0" w:type="auto"/>
            <w:shd w:val="clear" w:color="auto" w:fill="FFFFFF"/>
            <w:vAlign w:val="bottom"/>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 xml:space="preserve">Страхование жизни </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524</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21,7%</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592</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12-14%</w:t>
            </w:r>
          </w:p>
        </w:tc>
      </w:tr>
      <w:tr w:rsidR="00870E5D" w:rsidRPr="00870E5D" w:rsidTr="004C36B2">
        <w:tblPrEx>
          <w:tblCellMar>
            <w:top w:w="0" w:type="dxa"/>
            <w:left w:w="0" w:type="dxa"/>
            <w:bottom w:w="0" w:type="dxa"/>
            <w:right w:w="0" w:type="dxa"/>
          </w:tblCellMar>
        </w:tblPrEx>
        <w:trPr>
          <w:trHeight w:val="810"/>
        </w:trPr>
        <w:tc>
          <w:tcPr>
            <w:tcW w:w="0" w:type="auto"/>
            <w:shd w:val="clear" w:color="auto" w:fill="FFFFFF"/>
            <w:vAlign w:val="bottom"/>
          </w:tcPr>
          <w:p w:rsidR="00BE07E1" w:rsidRPr="00870E5D" w:rsidRDefault="00321137" w:rsidP="004C36B2">
            <w:pPr>
              <w:pStyle w:val="a5"/>
              <w:rPr>
                <w:rFonts w:ascii="Times New Roman" w:hAnsi="Times New Roman" w:cs="Times New Roman"/>
                <w:sz w:val="24"/>
                <w:szCs w:val="24"/>
              </w:rPr>
            </w:pPr>
            <w:r w:rsidRPr="00870E5D">
              <w:rPr>
                <w:rFonts w:ascii="Times New Roman" w:hAnsi="Times New Roman" w:cs="Times New Roman"/>
                <w:sz w:val="24"/>
                <w:szCs w:val="24"/>
              </w:rPr>
              <w:t>Страхование от</w:t>
            </w:r>
            <w:r w:rsidRPr="00870E5D">
              <w:rPr>
                <w:rFonts w:ascii="Times New Roman" w:hAnsi="Times New Roman" w:cs="Times New Roman"/>
                <w:sz w:val="24"/>
                <w:szCs w:val="24"/>
              </w:rPr>
              <w:t xml:space="preserve"> </w:t>
            </w:r>
            <w:r w:rsidR="00BE07E1" w:rsidRPr="00870E5D">
              <w:rPr>
                <w:rFonts w:ascii="Times New Roman" w:hAnsi="Times New Roman" w:cs="Times New Roman"/>
                <w:sz w:val="24"/>
                <w:szCs w:val="24"/>
              </w:rPr>
              <w:t>несчастных случаев и</w:t>
            </w:r>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болезней</w:t>
            </w:r>
          </w:p>
          <w:p w:rsidR="00BE07E1" w:rsidRPr="00870E5D" w:rsidRDefault="00BE07E1" w:rsidP="004C36B2">
            <w:pPr>
              <w:pStyle w:val="a5"/>
              <w:rPr>
                <w:rFonts w:ascii="Times New Roman" w:hAnsi="Times New Roman" w:cs="Times New Roman"/>
                <w:sz w:val="24"/>
                <w:szCs w:val="24"/>
              </w:rPr>
            </w:pP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269</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33,0%</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296</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9-11%</w:t>
            </w:r>
          </w:p>
        </w:tc>
      </w:tr>
      <w:tr w:rsidR="00870E5D" w:rsidRPr="00870E5D" w:rsidTr="004C36B2">
        <w:tblPrEx>
          <w:tblCellMar>
            <w:top w:w="0" w:type="dxa"/>
            <w:left w:w="0" w:type="dxa"/>
            <w:bottom w:w="0" w:type="dxa"/>
            <w:right w:w="0" w:type="dxa"/>
          </w:tblCellMar>
        </w:tblPrEx>
        <w:trPr>
          <w:trHeight w:val="608"/>
        </w:trPr>
        <w:tc>
          <w:tcPr>
            <w:tcW w:w="0" w:type="auto"/>
            <w:shd w:val="clear" w:color="auto" w:fill="FFFFFF"/>
          </w:tcPr>
          <w:p w:rsidR="00BE07E1" w:rsidRPr="00870E5D" w:rsidRDefault="00321137" w:rsidP="004C36B2">
            <w:pPr>
              <w:pStyle w:val="a5"/>
              <w:rPr>
                <w:rFonts w:ascii="Times New Roman" w:hAnsi="Times New Roman" w:cs="Times New Roman"/>
                <w:sz w:val="24"/>
                <w:szCs w:val="24"/>
              </w:rPr>
            </w:pPr>
            <w:proofErr w:type="gramStart"/>
            <w:r w:rsidRPr="00870E5D">
              <w:rPr>
                <w:rFonts w:ascii="Times New Roman" w:hAnsi="Times New Roman" w:cs="Times New Roman"/>
                <w:sz w:val="24"/>
                <w:szCs w:val="24"/>
              </w:rPr>
              <w:t>Добровольное</w:t>
            </w:r>
            <w:r w:rsidRPr="00870E5D">
              <w:rPr>
                <w:rFonts w:ascii="Times New Roman" w:hAnsi="Times New Roman" w:cs="Times New Roman"/>
                <w:sz w:val="24"/>
                <w:szCs w:val="24"/>
              </w:rPr>
              <w:t xml:space="preserve"> </w:t>
            </w:r>
            <w:r w:rsidR="00646E0A" w:rsidRPr="00870E5D">
              <w:rPr>
                <w:rFonts w:ascii="Times New Roman" w:hAnsi="Times New Roman" w:cs="Times New Roman"/>
                <w:sz w:val="24"/>
                <w:szCs w:val="24"/>
              </w:rPr>
              <w:t xml:space="preserve"> </w:t>
            </w:r>
            <w:r w:rsidR="00BE07E1" w:rsidRPr="00870E5D">
              <w:rPr>
                <w:rFonts w:ascii="Times New Roman" w:hAnsi="Times New Roman" w:cs="Times New Roman"/>
                <w:sz w:val="24"/>
                <w:szCs w:val="24"/>
              </w:rPr>
              <w:t>медицинское</w:t>
            </w:r>
            <w:proofErr w:type="gramEnd"/>
          </w:p>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страхование</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201</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13,6%</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219</w:t>
            </w:r>
          </w:p>
        </w:tc>
        <w:tc>
          <w:tcPr>
            <w:tcW w:w="0" w:type="auto"/>
            <w:shd w:val="clear" w:color="auto" w:fill="FFFFFF"/>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8-10%</w:t>
            </w:r>
          </w:p>
        </w:tc>
      </w:tr>
      <w:tr w:rsidR="00870E5D" w:rsidRPr="00870E5D" w:rsidTr="004C36B2">
        <w:tblPrEx>
          <w:tblCellMar>
            <w:top w:w="0" w:type="dxa"/>
            <w:left w:w="0" w:type="dxa"/>
            <w:bottom w:w="0" w:type="dxa"/>
            <w:right w:w="0" w:type="dxa"/>
          </w:tblCellMar>
        </w:tblPrEx>
        <w:trPr>
          <w:trHeight w:val="473"/>
        </w:trPr>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Страхование автокаско</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203</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15,7%</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216</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5-7%</w:t>
            </w:r>
          </w:p>
        </w:tc>
      </w:tr>
      <w:tr w:rsidR="00870E5D" w:rsidRPr="00870E5D" w:rsidTr="004C36B2">
        <w:tblPrEx>
          <w:tblCellMar>
            <w:top w:w="0" w:type="dxa"/>
            <w:left w:w="0" w:type="dxa"/>
            <w:bottom w:w="0" w:type="dxa"/>
            <w:right w:w="0" w:type="dxa"/>
          </w:tblCellMar>
        </w:tblPrEx>
        <w:trPr>
          <w:trHeight w:val="735"/>
        </w:trPr>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Страхование прочего имущества ЮЛ</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115</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1,6%</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120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3-5 %</w:t>
            </w:r>
          </w:p>
        </w:tc>
      </w:tr>
      <w:tr w:rsidR="00870E5D" w:rsidRPr="00870E5D" w:rsidTr="004C36B2">
        <w:tblPrEx>
          <w:tblCellMar>
            <w:top w:w="0" w:type="dxa"/>
            <w:left w:w="0" w:type="dxa"/>
            <w:bottom w:w="0" w:type="dxa"/>
            <w:right w:w="0" w:type="dxa"/>
          </w:tblCellMar>
        </w:tblPrEx>
        <w:trPr>
          <w:trHeight w:val="683"/>
        </w:trPr>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Страхование имущества граждан</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79</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10,3%</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82</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3-5%</w:t>
            </w:r>
          </w:p>
        </w:tc>
      </w:tr>
      <w:tr w:rsidR="00870E5D" w:rsidRPr="00870E5D" w:rsidTr="004C36B2">
        <w:tblPrEx>
          <w:tblCellMar>
            <w:top w:w="0" w:type="dxa"/>
            <w:left w:w="0" w:type="dxa"/>
            <w:bottom w:w="0" w:type="dxa"/>
            <w:right w:w="0" w:type="dxa"/>
          </w:tblCellMar>
        </w:tblPrEx>
        <w:trPr>
          <w:trHeight w:val="390"/>
        </w:trPr>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ОСАГО</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235</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6,8%</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235</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-0%</w:t>
            </w:r>
          </w:p>
        </w:tc>
      </w:tr>
      <w:tr w:rsidR="00870E5D" w:rsidRPr="00870E5D" w:rsidTr="004C36B2">
        <w:tblPrEx>
          <w:tblCellMar>
            <w:top w:w="0" w:type="dxa"/>
            <w:left w:w="0" w:type="dxa"/>
            <w:bottom w:w="0" w:type="dxa"/>
            <w:right w:w="0" w:type="dxa"/>
          </w:tblCellMar>
        </w:tblPrEx>
        <w:trPr>
          <w:trHeight w:val="630"/>
        </w:trPr>
        <w:tc>
          <w:tcPr>
            <w:tcW w:w="0" w:type="auto"/>
            <w:shd w:val="clear" w:color="auto" w:fill="FFFFFF"/>
            <w:vAlign w:val="bottom"/>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Прочие виды страхования</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180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21,1%</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190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4-6 %</w:t>
            </w:r>
          </w:p>
        </w:tc>
      </w:tr>
      <w:tr w:rsidR="00870E5D" w:rsidRPr="00870E5D" w:rsidTr="004C36B2">
        <w:tblPrEx>
          <w:tblCellMar>
            <w:top w:w="0" w:type="dxa"/>
            <w:left w:w="0" w:type="dxa"/>
            <w:bottom w:w="0" w:type="dxa"/>
            <w:right w:w="0" w:type="dxa"/>
          </w:tblCellMar>
        </w:tblPrEx>
        <w:trPr>
          <w:trHeight w:val="450"/>
        </w:trPr>
        <w:tc>
          <w:tcPr>
            <w:tcW w:w="0" w:type="auto"/>
            <w:shd w:val="clear" w:color="auto" w:fill="FFFFFF"/>
            <w:vAlign w:val="bottom"/>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 xml:space="preserve">Страховой рынок </w:t>
            </w:r>
            <w:proofErr w:type="spellStart"/>
            <w:r w:rsidRPr="00870E5D">
              <w:rPr>
                <w:rFonts w:ascii="Times New Roman" w:hAnsi="Times New Roman" w:cs="Times New Roman"/>
                <w:sz w:val="24"/>
                <w:szCs w:val="24"/>
              </w:rPr>
              <w:t>non</w:t>
            </w:r>
            <w:r w:rsidRPr="00870E5D">
              <w:rPr>
                <w:rFonts w:ascii="Times New Roman" w:hAnsi="Times New Roman" w:cs="Times New Roman"/>
                <w:sz w:val="24"/>
                <w:szCs w:val="24"/>
              </w:rPr>
              <w:softHyphen/>
              <w:t>life</w:t>
            </w:r>
            <w:proofErr w:type="spellEnd"/>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~1 280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15-16%</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-1 360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5-7%</w:t>
            </w:r>
          </w:p>
        </w:tc>
      </w:tr>
      <w:tr w:rsidR="00870E5D" w:rsidRPr="00870E5D" w:rsidTr="004C36B2">
        <w:tblPrEx>
          <w:tblCellMar>
            <w:top w:w="0" w:type="dxa"/>
            <w:left w:w="0" w:type="dxa"/>
            <w:bottom w:w="0" w:type="dxa"/>
            <w:right w:w="0" w:type="dxa"/>
          </w:tblCellMar>
        </w:tblPrEx>
        <w:trPr>
          <w:trHeight w:val="630"/>
        </w:trPr>
        <w:tc>
          <w:tcPr>
            <w:tcW w:w="0" w:type="auto"/>
            <w:shd w:val="clear" w:color="auto" w:fill="FFFFFF"/>
            <w:vAlign w:val="bottom"/>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Страховой рынок в целом (</w:t>
            </w:r>
            <w:proofErr w:type="spellStart"/>
            <w:r w:rsidRPr="00870E5D">
              <w:rPr>
                <w:rFonts w:ascii="Times New Roman" w:hAnsi="Times New Roman" w:cs="Times New Roman"/>
                <w:sz w:val="24"/>
                <w:szCs w:val="24"/>
              </w:rPr>
              <w:t>life</w:t>
            </w:r>
            <w:proofErr w:type="spellEnd"/>
            <w:r w:rsidRPr="00870E5D">
              <w:rPr>
                <w:rFonts w:ascii="Times New Roman" w:hAnsi="Times New Roman" w:cs="Times New Roman"/>
                <w:sz w:val="24"/>
                <w:szCs w:val="24"/>
              </w:rPr>
              <w:t xml:space="preserve"> + </w:t>
            </w:r>
            <w:proofErr w:type="spellStart"/>
            <w:r w:rsidRPr="00870E5D">
              <w:rPr>
                <w:rFonts w:ascii="Times New Roman" w:hAnsi="Times New Roman" w:cs="Times New Roman"/>
                <w:sz w:val="24"/>
                <w:szCs w:val="24"/>
              </w:rPr>
              <w:t>non-life</w:t>
            </w:r>
            <w:proofErr w:type="spellEnd"/>
            <w:r w:rsidRPr="00870E5D">
              <w:rPr>
                <w:rFonts w:ascii="Times New Roman" w:hAnsi="Times New Roman" w:cs="Times New Roman"/>
                <w:sz w:val="24"/>
                <w:szCs w:val="24"/>
              </w:rPr>
              <w:t>)</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~1 800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17-18%</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-1 950</w:t>
            </w:r>
          </w:p>
        </w:tc>
        <w:tc>
          <w:tcPr>
            <w:tcW w:w="0" w:type="auto"/>
            <w:shd w:val="clear" w:color="auto" w:fill="FFFFFF"/>
            <w:vAlign w:val="center"/>
          </w:tcPr>
          <w:p w:rsidR="00BE07E1" w:rsidRPr="00870E5D" w:rsidRDefault="00BE07E1" w:rsidP="004C36B2">
            <w:pPr>
              <w:pStyle w:val="a5"/>
              <w:rPr>
                <w:rFonts w:ascii="Times New Roman" w:hAnsi="Times New Roman" w:cs="Times New Roman"/>
                <w:sz w:val="24"/>
                <w:szCs w:val="24"/>
              </w:rPr>
            </w:pPr>
            <w:r w:rsidRPr="00870E5D">
              <w:rPr>
                <w:rFonts w:ascii="Times New Roman" w:hAnsi="Times New Roman" w:cs="Times New Roman"/>
                <w:sz w:val="24"/>
                <w:szCs w:val="24"/>
              </w:rPr>
              <w:t>7-9%</w:t>
            </w:r>
          </w:p>
        </w:tc>
      </w:tr>
    </w:tbl>
    <w:p w:rsidR="00BE07E1" w:rsidRDefault="00BE07E1" w:rsidP="00574E72">
      <w:pPr>
        <w:pStyle w:val="a5"/>
        <w:spacing w:line="360" w:lineRule="auto"/>
        <w:ind w:firstLine="709"/>
        <w:jc w:val="both"/>
        <w:rPr>
          <w:rFonts w:ascii="Times New Roman" w:hAnsi="Times New Roman" w:cs="Times New Roman"/>
          <w:sz w:val="28"/>
          <w:szCs w:val="28"/>
        </w:rPr>
      </w:pPr>
    </w:p>
    <w:p w:rsidR="00870E5D" w:rsidRPr="00574E72" w:rsidRDefault="00C5037E" w:rsidP="00870E5D">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70E5D">
        <w:rPr>
          <w:rFonts w:ascii="Times New Roman" w:hAnsi="Times New Roman" w:cs="Times New Roman"/>
          <w:sz w:val="28"/>
          <w:szCs w:val="28"/>
        </w:rPr>
        <w:t xml:space="preserve">Так же в 2021 году драйверами страхования стали: добровольное медицинское страхование (прирост составил 13,6%; страхование автокаско </w:t>
      </w:r>
      <w:proofErr w:type="gramStart"/>
      <w:r w:rsidR="00870E5D">
        <w:rPr>
          <w:rFonts w:ascii="Times New Roman" w:hAnsi="Times New Roman" w:cs="Times New Roman"/>
          <w:sz w:val="28"/>
          <w:szCs w:val="28"/>
        </w:rPr>
        <w:t>( прирост</w:t>
      </w:r>
      <w:proofErr w:type="gramEnd"/>
      <w:r w:rsidR="00870E5D">
        <w:rPr>
          <w:rFonts w:ascii="Times New Roman" w:hAnsi="Times New Roman" w:cs="Times New Roman"/>
          <w:sz w:val="28"/>
          <w:szCs w:val="28"/>
        </w:rPr>
        <w:t xml:space="preserve"> 15,7%); страхование имущества граждан 10,3%</w:t>
      </w:r>
      <w:r w:rsidR="0074177C">
        <w:rPr>
          <w:rStyle w:val="af0"/>
          <w:rFonts w:ascii="Times New Roman" w:hAnsi="Times New Roman" w:cs="Times New Roman"/>
          <w:sz w:val="28"/>
          <w:szCs w:val="28"/>
        </w:rPr>
        <w:footnoteReference w:id="7"/>
      </w:r>
      <w:r w:rsidR="00870E5D">
        <w:rPr>
          <w:rFonts w:ascii="Times New Roman" w:hAnsi="Times New Roman" w:cs="Times New Roman"/>
          <w:sz w:val="28"/>
          <w:szCs w:val="28"/>
        </w:rPr>
        <w:t>.</w:t>
      </w:r>
    </w:p>
    <w:p w:rsidR="00870E5D" w:rsidRPr="00781237" w:rsidRDefault="00870E5D" w:rsidP="00781237">
      <w:pPr>
        <w:pStyle w:val="a5"/>
        <w:spacing w:line="360" w:lineRule="auto"/>
        <w:ind w:firstLine="709"/>
        <w:jc w:val="both"/>
        <w:rPr>
          <w:rFonts w:ascii="Times New Roman" w:hAnsi="Times New Roman" w:cs="Times New Roman"/>
          <w:sz w:val="28"/>
          <w:szCs w:val="28"/>
        </w:rPr>
      </w:pPr>
      <w:r w:rsidRPr="00781237">
        <w:rPr>
          <w:rFonts w:ascii="Times New Roman" w:hAnsi="Times New Roman" w:cs="Times New Roman"/>
          <w:sz w:val="28"/>
          <w:szCs w:val="28"/>
        </w:rPr>
        <w:t>Важным аспектом развития страхового рынка России является уменьшение количества страхователей (см. рис.</w:t>
      </w:r>
      <w:r w:rsidR="0074177C">
        <w:rPr>
          <w:rFonts w:ascii="Times New Roman" w:hAnsi="Times New Roman" w:cs="Times New Roman"/>
          <w:sz w:val="28"/>
          <w:szCs w:val="28"/>
        </w:rPr>
        <w:t>2</w:t>
      </w:r>
      <w:r w:rsidRPr="00781237">
        <w:rPr>
          <w:rFonts w:ascii="Times New Roman" w:hAnsi="Times New Roman" w:cs="Times New Roman"/>
          <w:sz w:val="28"/>
          <w:szCs w:val="28"/>
        </w:rPr>
        <w:t>)</w:t>
      </w:r>
      <w:r w:rsidR="0074177C">
        <w:rPr>
          <w:rStyle w:val="af0"/>
          <w:rFonts w:ascii="Times New Roman" w:hAnsi="Times New Roman" w:cs="Times New Roman"/>
          <w:sz w:val="28"/>
          <w:szCs w:val="28"/>
        </w:rPr>
        <w:footnoteReference w:id="8"/>
      </w:r>
      <w:r w:rsidRPr="00781237">
        <w:rPr>
          <w:rFonts w:ascii="Times New Roman" w:hAnsi="Times New Roman" w:cs="Times New Roman"/>
          <w:sz w:val="28"/>
          <w:szCs w:val="28"/>
        </w:rPr>
        <w:t xml:space="preserve">. Так </w:t>
      </w:r>
      <w:proofErr w:type="spellStart"/>
      <w:r w:rsidRPr="00781237">
        <w:rPr>
          <w:rFonts w:ascii="Times New Roman" w:hAnsi="Times New Roman" w:cs="Times New Roman"/>
          <w:sz w:val="28"/>
          <w:szCs w:val="28"/>
        </w:rPr>
        <w:t>Риа</w:t>
      </w:r>
      <w:proofErr w:type="spellEnd"/>
      <w:r w:rsidR="00781237" w:rsidRPr="00781237">
        <w:rPr>
          <w:rFonts w:ascii="Times New Roman" w:hAnsi="Times New Roman" w:cs="Times New Roman"/>
          <w:sz w:val="28"/>
          <w:szCs w:val="28"/>
        </w:rPr>
        <w:t xml:space="preserve"> Рейтинг отмечает, что с</w:t>
      </w:r>
      <w:r w:rsidRPr="00781237">
        <w:rPr>
          <w:rFonts w:ascii="Times New Roman" w:hAnsi="Times New Roman" w:cs="Times New Roman"/>
          <w:sz w:val="28"/>
          <w:szCs w:val="28"/>
        </w:rPr>
        <w:t xml:space="preserve">траховые компании по-прежнему покидают финансовый </w:t>
      </w:r>
      <w:r w:rsidRPr="00781237">
        <w:rPr>
          <w:rFonts w:ascii="Times New Roman" w:hAnsi="Times New Roman" w:cs="Times New Roman"/>
          <w:sz w:val="28"/>
          <w:szCs w:val="28"/>
        </w:rPr>
        <w:lastRenderedPageBreak/>
        <w:t xml:space="preserve">рынок, </w:t>
      </w:r>
      <w:r w:rsidR="00781237" w:rsidRPr="00781237">
        <w:rPr>
          <w:rFonts w:ascii="Times New Roman" w:hAnsi="Times New Roman" w:cs="Times New Roman"/>
          <w:sz w:val="28"/>
          <w:szCs w:val="28"/>
        </w:rPr>
        <w:t xml:space="preserve">и по прогнозу в 2022 году уйдут все компании с иностранным капиталом. </w:t>
      </w:r>
      <w:r w:rsidRPr="00781237">
        <w:rPr>
          <w:rFonts w:ascii="Times New Roman" w:hAnsi="Times New Roman" w:cs="Times New Roman"/>
          <w:sz w:val="28"/>
          <w:szCs w:val="28"/>
        </w:rPr>
        <w:t>Согласно результатам исследования, количество действующих страховщиков в 2021 году снизилось на 8,7% или на 13 компаний до 136 в текущем рейтинге. </w:t>
      </w:r>
    </w:p>
    <w:p w:rsidR="00870E5D" w:rsidRDefault="00870E5D" w:rsidP="00E2570B">
      <w:pPr>
        <w:pStyle w:val="a5"/>
        <w:spacing w:line="360" w:lineRule="auto"/>
        <w:ind w:firstLine="709"/>
        <w:jc w:val="both"/>
        <w:rPr>
          <w:rFonts w:ascii="Times New Roman" w:hAnsi="Times New Roman" w:cs="Times New Roman"/>
          <w:sz w:val="28"/>
          <w:szCs w:val="28"/>
        </w:rPr>
      </w:pPr>
    </w:p>
    <w:p w:rsidR="00870E5D" w:rsidRDefault="00870E5D" w:rsidP="00E2570B">
      <w:pPr>
        <w:pStyle w:val="a5"/>
        <w:spacing w:line="360" w:lineRule="auto"/>
        <w:ind w:firstLine="709"/>
        <w:jc w:val="both"/>
        <w:rPr>
          <w:rFonts w:ascii="Times New Roman" w:hAnsi="Times New Roman" w:cs="Times New Roman"/>
          <w:sz w:val="28"/>
          <w:szCs w:val="28"/>
        </w:rPr>
      </w:pPr>
      <w:r>
        <w:rPr>
          <w:noProof/>
        </w:rPr>
        <w:drawing>
          <wp:inline distT="0" distB="0" distL="0" distR="0" wp14:anchorId="22C1672E" wp14:editId="70A026DA">
            <wp:extent cx="4572000" cy="2743200"/>
            <wp:effectExtent l="0" t="0" r="0" b="0"/>
            <wp:docPr id="4" name="Диаграмма 4">
              <a:extLst xmlns:a="http://schemas.openxmlformats.org/drawingml/2006/main">
                <a:ext uri="{FF2B5EF4-FFF2-40B4-BE49-F238E27FC236}">
                  <a16:creationId xmlns:a16="http://schemas.microsoft.com/office/drawing/2014/main" id="{4D3DE853-04F2-48CA-9C88-FB4702104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0E5D" w:rsidRDefault="00870E5D" w:rsidP="00E2570B">
      <w:pPr>
        <w:pStyle w:val="a5"/>
        <w:spacing w:line="360" w:lineRule="auto"/>
        <w:ind w:firstLine="709"/>
        <w:jc w:val="both"/>
        <w:rPr>
          <w:rFonts w:ascii="Times New Roman" w:hAnsi="Times New Roman" w:cs="Times New Roman"/>
          <w:sz w:val="28"/>
          <w:szCs w:val="28"/>
        </w:rPr>
      </w:pPr>
    </w:p>
    <w:p w:rsidR="00870E5D" w:rsidRDefault="00781237" w:rsidP="00781237">
      <w:pPr>
        <w:pStyle w:val="a5"/>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1 – Количество страховых компаний России</w:t>
      </w:r>
    </w:p>
    <w:p w:rsidR="00781237" w:rsidRDefault="00781237" w:rsidP="00E2570B">
      <w:pPr>
        <w:pStyle w:val="a5"/>
        <w:spacing w:line="360" w:lineRule="auto"/>
        <w:ind w:firstLine="709"/>
        <w:jc w:val="both"/>
        <w:rPr>
          <w:rFonts w:ascii="Times New Roman" w:hAnsi="Times New Roman" w:cs="Times New Roman"/>
          <w:sz w:val="28"/>
          <w:szCs w:val="28"/>
        </w:rPr>
      </w:pPr>
    </w:p>
    <w:p w:rsidR="00E2570B" w:rsidRDefault="00870E5D" w:rsidP="00E2570B">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Как</w:t>
      </w:r>
      <w:r w:rsidR="00E2570B">
        <w:rPr>
          <w:rFonts w:ascii="Times New Roman" w:hAnsi="Times New Roman" w:cs="Times New Roman"/>
          <w:sz w:val="28"/>
          <w:szCs w:val="28"/>
        </w:rPr>
        <w:t xml:space="preserve"> показывают результаты анализа аналитических данных, к</w:t>
      </w:r>
      <w:r w:rsidR="00E2570B" w:rsidRPr="00574E72">
        <w:rPr>
          <w:rFonts w:ascii="Times New Roman" w:hAnsi="Times New Roman" w:cs="Times New Roman"/>
          <w:sz w:val="28"/>
          <w:szCs w:val="28"/>
        </w:rPr>
        <w:t>рупнейшие страховые компании показали высокие темпы прироста. Объем собранных страховых премий ТОП-5 компаний за год вырос на 24%. При этом первая пятерка крупнейших страховых компаний обеспечила чуть более 60% всего прироста собранных страховых премий</w:t>
      </w:r>
      <w:r w:rsidR="0074177C">
        <w:rPr>
          <w:rStyle w:val="af0"/>
          <w:rFonts w:ascii="Times New Roman" w:hAnsi="Times New Roman" w:cs="Times New Roman"/>
          <w:sz w:val="28"/>
          <w:szCs w:val="28"/>
        </w:rPr>
        <w:footnoteReference w:id="9"/>
      </w:r>
      <w:r w:rsidR="00E2570B" w:rsidRPr="00574E72">
        <w:rPr>
          <w:rFonts w:ascii="Times New Roman" w:hAnsi="Times New Roman" w:cs="Times New Roman"/>
          <w:sz w:val="28"/>
          <w:szCs w:val="28"/>
        </w:rPr>
        <w:t>.</w:t>
      </w: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Default="00781237" w:rsidP="00E2570B">
      <w:pPr>
        <w:pStyle w:val="a5"/>
        <w:spacing w:line="360" w:lineRule="auto"/>
        <w:ind w:firstLine="709"/>
        <w:jc w:val="both"/>
        <w:rPr>
          <w:rFonts w:ascii="Times New Roman" w:hAnsi="Times New Roman" w:cs="Times New Roman"/>
          <w:sz w:val="28"/>
          <w:szCs w:val="28"/>
        </w:rPr>
      </w:pPr>
    </w:p>
    <w:p w:rsidR="00781237" w:rsidRPr="00574E72" w:rsidRDefault="00781237" w:rsidP="00E2570B">
      <w:pPr>
        <w:pStyle w:val="a5"/>
        <w:spacing w:line="360" w:lineRule="auto"/>
        <w:ind w:firstLine="709"/>
        <w:jc w:val="both"/>
        <w:rPr>
          <w:rFonts w:ascii="Times New Roman" w:hAnsi="Times New Roman" w:cs="Times New Roman"/>
          <w:sz w:val="28"/>
          <w:szCs w:val="28"/>
        </w:rPr>
      </w:pPr>
    </w:p>
    <w:p w:rsidR="004A26ED" w:rsidRPr="00574E72" w:rsidRDefault="004A26ED"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E2570B">
        <w:rPr>
          <w:rFonts w:ascii="Times New Roman" w:hAnsi="Times New Roman" w:cs="Times New Roman"/>
          <w:sz w:val="28"/>
          <w:szCs w:val="28"/>
        </w:rPr>
        <w:t>2</w:t>
      </w:r>
      <w:r>
        <w:rPr>
          <w:rFonts w:ascii="Times New Roman" w:hAnsi="Times New Roman" w:cs="Times New Roman"/>
          <w:sz w:val="28"/>
          <w:szCs w:val="28"/>
        </w:rPr>
        <w:t xml:space="preserve">- Динамика развития страхового </w:t>
      </w:r>
      <w:r w:rsidR="00781237">
        <w:rPr>
          <w:rFonts w:ascii="Times New Roman" w:hAnsi="Times New Roman" w:cs="Times New Roman"/>
          <w:sz w:val="28"/>
          <w:szCs w:val="28"/>
        </w:rPr>
        <w:t>рынка в</w:t>
      </w:r>
      <w:r>
        <w:rPr>
          <w:rFonts w:ascii="Times New Roman" w:hAnsi="Times New Roman" w:cs="Times New Roman"/>
          <w:sz w:val="28"/>
          <w:szCs w:val="28"/>
        </w:rPr>
        <w:t xml:space="preserve"> 2021 году</w:t>
      </w:r>
      <w:r w:rsidR="0074177C">
        <w:rPr>
          <w:rStyle w:val="af0"/>
          <w:rFonts w:ascii="Times New Roman" w:hAnsi="Times New Roman" w:cs="Times New Roman"/>
          <w:sz w:val="28"/>
          <w:szCs w:val="28"/>
        </w:rPr>
        <w:footnoteReference w:id="10"/>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8"/>
        <w:gridCol w:w="700"/>
        <w:gridCol w:w="2768"/>
        <w:gridCol w:w="1568"/>
        <w:gridCol w:w="1579"/>
        <w:gridCol w:w="1627"/>
      </w:tblGrid>
      <w:tr w:rsidR="00574E72" w:rsidRPr="00870E5D" w:rsidTr="0044027A">
        <w:tblPrEx>
          <w:tblCellMar>
            <w:top w:w="0" w:type="dxa"/>
            <w:left w:w="0" w:type="dxa"/>
            <w:bottom w:w="0" w:type="dxa"/>
            <w:right w:w="0" w:type="dxa"/>
          </w:tblCellMar>
        </w:tblPrEx>
        <w:trPr>
          <w:trHeight w:val="833"/>
          <w:jc w:val="center"/>
        </w:trPr>
        <w:tc>
          <w:tcPr>
            <w:tcW w:w="45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Место на 1 январи 2022 года</w:t>
            </w:r>
          </w:p>
        </w:tc>
        <w:tc>
          <w:tcPr>
            <w:tcW w:w="37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Место на 1 января 2021 года</w:t>
            </w:r>
          </w:p>
        </w:tc>
        <w:tc>
          <w:tcPr>
            <w:tcW w:w="1529"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Название страховщика</w:t>
            </w:r>
          </w:p>
        </w:tc>
        <w:tc>
          <w:tcPr>
            <w:tcW w:w="867"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Страховые премии (кроме ОМС) за 2021 год, млрд руб.</w:t>
            </w:r>
          </w:p>
        </w:tc>
        <w:tc>
          <w:tcPr>
            <w:tcW w:w="87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Изменение объема премий в 2021 году к 2020 году, % *</w:t>
            </w:r>
          </w:p>
        </w:tc>
        <w:tc>
          <w:tcPr>
            <w:tcW w:w="89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Отношение выплат к премиям в 2021 году, %</w:t>
            </w:r>
          </w:p>
        </w:tc>
      </w:tr>
      <w:tr w:rsidR="00574E72" w:rsidRPr="00870E5D" w:rsidTr="0044027A">
        <w:tblPrEx>
          <w:tblCellMar>
            <w:top w:w="0" w:type="dxa"/>
            <w:left w:w="0" w:type="dxa"/>
            <w:bottom w:w="0" w:type="dxa"/>
            <w:right w:w="0" w:type="dxa"/>
          </w:tblCellMar>
        </w:tblPrEx>
        <w:trPr>
          <w:trHeight w:val="323"/>
          <w:jc w:val="center"/>
        </w:trPr>
        <w:tc>
          <w:tcPr>
            <w:tcW w:w="453"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w:t>
            </w:r>
          </w:p>
        </w:tc>
        <w:tc>
          <w:tcPr>
            <w:tcW w:w="379"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АО "СОГАЗ" (лиц. 1208)</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347.4</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20.9%</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30.3%</w:t>
            </w:r>
          </w:p>
        </w:tc>
      </w:tr>
      <w:tr w:rsidR="00574E72" w:rsidRPr="00870E5D" w:rsidTr="0044027A">
        <w:tblPrEx>
          <w:tblCellMar>
            <w:top w:w="0" w:type="dxa"/>
            <w:left w:w="0" w:type="dxa"/>
            <w:bottom w:w="0" w:type="dxa"/>
            <w:right w:w="0" w:type="dxa"/>
          </w:tblCellMar>
        </w:tblPrEx>
        <w:trPr>
          <w:trHeight w:val="525"/>
          <w:jc w:val="center"/>
        </w:trPr>
        <w:tc>
          <w:tcPr>
            <w:tcW w:w="453"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w:t>
            </w:r>
          </w:p>
        </w:tc>
        <w:tc>
          <w:tcPr>
            <w:tcW w:w="379"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w:t>
            </w:r>
          </w:p>
        </w:tc>
        <w:tc>
          <w:tcPr>
            <w:tcW w:w="152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ООО СК "Сбербанк страхование жизни" (лиц. 3692)</w:t>
            </w:r>
          </w:p>
        </w:tc>
        <w:tc>
          <w:tcPr>
            <w:tcW w:w="867"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155.7</w:t>
            </w:r>
          </w:p>
        </w:tc>
        <w:tc>
          <w:tcPr>
            <w:tcW w:w="873"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46.8%</w:t>
            </w:r>
          </w:p>
        </w:tc>
        <w:tc>
          <w:tcPr>
            <w:tcW w:w="899" w:type="pct"/>
            <w:shd w:val="clear" w:color="auto" w:fill="FFFFFF"/>
            <w:vAlign w:val="center"/>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53.2%</w:t>
            </w:r>
          </w:p>
        </w:tc>
      </w:tr>
      <w:tr w:rsidR="00574E72" w:rsidRPr="00870E5D" w:rsidTr="0044027A">
        <w:tblPrEx>
          <w:tblCellMar>
            <w:top w:w="0" w:type="dxa"/>
            <w:left w:w="0" w:type="dxa"/>
            <w:bottom w:w="0" w:type="dxa"/>
            <w:right w:w="0" w:type="dxa"/>
          </w:tblCellMar>
        </w:tblPrEx>
        <w:trPr>
          <w:trHeight w:val="323"/>
          <w:jc w:val="center"/>
        </w:trPr>
        <w:tc>
          <w:tcPr>
            <w:tcW w:w="45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3</w:t>
            </w:r>
          </w:p>
        </w:tc>
        <w:tc>
          <w:tcPr>
            <w:tcW w:w="37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w:t>
            </w:r>
          </w:p>
        </w:tc>
        <w:tc>
          <w:tcPr>
            <w:tcW w:w="152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АО "АльфаСтрахование" (лиц. 2239)</w:t>
            </w:r>
          </w:p>
        </w:tc>
        <w:tc>
          <w:tcPr>
            <w:tcW w:w="867"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142.2</w:t>
            </w:r>
          </w:p>
        </w:tc>
        <w:tc>
          <w:tcPr>
            <w:tcW w:w="87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23.8%</w:t>
            </w:r>
          </w:p>
        </w:tc>
        <w:tc>
          <w:tcPr>
            <w:tcW w:w="89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42.7%</w:t>
            </w:r>
          </w:p>
        </w:tc>
      </w:tr>
      <w:tr w:rsidR="00574E72" w:rsidRPr="00870E5D" w:rsidTr="0044027A">
        <w:tblPrEx>
          <w:tblCellMar>
            <w:top w:w="0" w:type="dxa"/>
            <w:left w:w="0" w:type="dxa"/>
            <w:bottom w:w="0" w:type="dxa"/>
            <w:right w:w="0" w:type="dxa"/>
          </w:tblCellMar>
        </w:tblPrEx>
        <w:trPr>
          <w:trHeight w:val="263"/>
          <w:jc w:val="center"/>
        </w:trPr>
        <w:tc>
          <w:tcPr>
            <w:tcW w:w="45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w:t>
            </w:r>
          </w:p>
        </w:tc>
        <w:tc>
          <w:tcPr>
            <w:tcW w:w="37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СП АО "Ингосстрах" (лиц. 0928)</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129.8</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21.8%</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43.4%</w:t>
            </w:r>
          </w:p>
        </w:tc>
      </w:tr>
      <w:tr w:rsidR="00574E72" w:rsidRPr="00870E5D" w:rsidTr="0044027A">
        <w:tblPrEx>
          <w:tblCellMar>
            <w:top w:w="0" w:type="dxa"/>
            <w:left w:w="0" w:type="dxa"/>
            <w:bottom w:w="0" w:type="dxa"/>
            <w:right w:w="0" w:type="dxa"/>
          </w:tblCellMar>
        </w:tblPrEx>
        <w:trPr>
          <w:trHeight w:val="323"/>
          <w:jc w:val="center"/>
        </w:trPr>
        <w:tc>
          <w:tcPr>
            <w:tcW w:w="45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w:t>
            </w:r>
          </w:p>
        </w:tc>
        <w:tc>
          <w:tcPr>
            <w:tcW w:w="37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3</w:t>
            </w:r>
          </w:p>
        </w:tc>
        <w:tc>
          <w:tcPr>
            <w:tcW w:w="152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САО "РЕСО-Гарантия" (лиц. 1209)</w:t>
            </w:r>
          </w:p>
        </w:tc>
        <w:tc>
          <w:tcPr>
            <w:tcW w:w="867"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121.4</w:t>
            </w:r>
          </w:p>
        </w:tc>
        <w:tc>
          <w:tcPr>
            <w:tcW w:w="87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12.0%</w:t>
            </w:r>
          </w:p>
        </w:tc>
        <w:tc>
          <w:tcPr>
            <w:tcW w:w="89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52.0%</w:t>
            </w:r>
          </w:p>
        </w:tc>
      </w:tr>
      <w:tr w:rsidR="00574E72" w:rsidRPr="00870E5D" w:rsidTr="0044027A">
        <w:tblPrEx>
          <w:tblCellMar>
            <w:top w:w="0" w:type="dxa"/>
            <w:left w:w="0" w:type="dxa"/>
            <w:bottom w:w="0" w:type="dxa"/>
            <w:right w:w="0" w:type="dxa"/>
          </w:tblCellMar>
        </w:tblPrEx>
        <w:trPr>
          <w:trHeight w:val="263"/>
          <w:jc w:val="center"/>
        </w:trPr>
        <w:tc>
          <w:tcPr>
            <w:tcW w:w="45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6</w:t>
            </w:r>
          </w:p>
        </w:tc>
        <w:tc>
          <w:tcPr>
            <w:tcW w:w="37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7</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ООО "</w:t>
            </w:r>
            <w:proofErr w:type="spellStart"/>
            <w:r w:rsidRPr="00870E5D">
              <w:rPr>
                <w:rFonts w:ascii="Times New Roman" w:hAnsi="Times New Roman" w:cs="Times New Roman"/>
                <w:sz w:val="24"/>
                <w:szCs w:val="24"/>
              </w:rPr>
              <w:t>АльфаСграхование</w:t>
            </w:r>
            <w:proofErr w:type="spellEnd"/>
            <w:r w:rsidRPr="00870E5D">
              <w:rPr>
                <w:rFonts w:ascii="Times New Roman" w:hAnsi="Times New Roman" w:cs="Times New Roman"/>
                <w:sz w:val="24"/>
                <w:szCs w:val="24"/>
              </w:rPr>
              <w:t>-Жизнь" (лиц. 3447)</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104.8</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23.4%</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49.7%</w:t>
            </w:r>
          </w:p>
        </w:tc>
      </w:tr>
      <w:tr w:rsidR="00574E72" w:rsidRPr="00870E5D" w:rsidTr="0044027A">
        <w:tblPrEx>
          <w:tblCellMar>
            <w:top w:w="0" w:type="dxa"/>
            <w:left w:w="0" w:type="dxa"/>
            <w:bottom w:w="0" w:type="dxa"/>
            <w:right w:w="0" w:type="dxa"/>
          </w:tblCellMar>
        </w:tblPrEx>
        <w:trPr>
          <w:trHeight w:val="330"/>
          <w:jc w:val="center"/>
        </w:trPr>
        <w:tc>
          <w:tcPr>
            <w:tcW w:w="45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7</w:t>
            </w:r>
          </w:p>
        </w:tc>
        <w:tc>
          <w:tcPr>
            <w:tcW w:w="37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6</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ПАО СК "Росгосстрах" (лиц. 0001)</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96.8</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13.5%</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42.4%</w:t>
            </w:r>
          </w:p>
        </w:tc>
      </w:tr>
      <w:tr w:rsidR="00574E72" w:rsidRPr="00870E5D" w:rsidTr="0044027A">
        <w:tblPrEx>
          <w:tblCellMar>
            <w:top w:w="0" w:type="dxa"/>
            <w:left w:w="0" w:type="dxa"/>
            <w:bottom w:w="0" w:type="dxa"/>
            <w:right w:w="0" w:type="dxa"/>
          </w:tblCellMar>
        </w:tblPrEx>
        <w:trPr>
          <w:trHeight w:val="240"/>
          <w:jc w:val="center"/>
        </w:trPr>
        <w:tc>
          <w:tcPr>
            <w:tcW w:w="453" w:type="pct"/>
            <w:shd w:val="clear" w:color="auto" w:fill="FFFFFF"/>
          </w:tcPr>
          <w:p w:rsidR="00982CE7" w:rsidRPr="00870E5D" w:rsidRDefault="00982CE7" w:rsidP="0044027A">
            <w:pPr>
              <w:pStyle w:val="a5"/>
              <w:rPr>
                <w:rFonts w:ascii="Times New Roman" w:hAnsi="Times New Roman" w:cs="Times New Roman"/>
                <w:sz w:val="24"/>
                <w:szCs w:val="24"/>
              </w:rPr>
            </w:pPr>
            <w:proofErr w:type="gramStart"/>
            <w:r w:rsidRPr="00870E5D">
              <w:rPr>
                <w:rFonts w:ascii="Times New Roman" w:hAnsi="Times New Roman" w:cs="Times New Roman"/>
                <w:sz w:val="24"/>
                <w:szCs w:val="24"/>
              </w:rPr>
              <w:t>8 ]</w:t>
            </w:r>
            <w:proofErr w:type="gramEnd"/>
          </w:p>
        </w:tc>
        <w:tc>
          <w:tcPr>
            <w:tcW w:w="37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8</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САО "ВСК" (</w:t>
            </w:r>
            <w:proofErr w:type="spellStart"/>
            <w:r w:rsidRPr="00870E5D">
              <w:rPr>
                <w:rFonts w:ascii="Times New Roman" w:hAnsi="Times New Roman" w:cs="Times New Roman"/>
                <w:sz w:val="24"/>
                <w:szCs w:val="24"/>
              </w:rPr>
              <w:t>шщ</w:t>
            </w:r>
            <w:proofErr w:type="spellEnd"/>
            <w:r w:rsidRPr="00870E5D">
              <w:rPr>
                <w:rFonts w:ascii="Times New Roman" w:hAnsi="Times New Roman" w:cs="Times New Roman"/>
                <w:sz w:val="24"/>
                <w:szCs w:val="24"/>
              </w:rPr>
              <w:t>. 0621)</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85.1</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5.3%</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44.1%</w:t>
            </w:r>
          </w:p>
        </w:tc>
      </w:tr>
      <w:tr w:rsidR="00574E72" w:rsidRPr="00870E5D" w:rsidTr="0044027A">
        <w:tblPrEx>
          <w:tblCellMar>
            <w:top w:w="0" w:type="dxa"/>
            <w:left w:w="0" w:type="dxa"/>
            <w:bottom w:w="0" w:type="dxa"/>
            <w:right w:w="0" w:type="dxa"/>
          </w:tblCellMar>
        </w:tblPrEx>
        <w:trPr>
          <w:trHeight w:val="330"/>
          <w:jc w:val="center"/>
        </w:trPr>
        <w:tc>
          <w:tcPr>
            <w:tcW w:w="45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9</w:t>
            </w:r>
          </w:p>
        </w:tc>
        <w:tc>
          <w:tcPr>
            <w:tcW w:w="37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9</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ООО "СК СОГАЗ-ЖИЗНЬ" (лиц. 3825)</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71.6</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-5.9%</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47.3%</w:t>
            </w:r>
          </w:p>
        </w:tc>
      </w:tr>
      <w:tr w:rsidR="00574E72" w:rsidRPr="00870E5D" w:rsidTr="0044027A">
        <w:tblPrEx>
          <w:tblCellMar>
            <w:top w:w="0" w:type="dxa"/>
            <w:left w:w="0" w:type="dxa"/>
            <w:bottom w:w="0" w:type="dxa"/>
            <w:right w:w="0" w:type="dxa"/>
          </w:tblCellMar>
        </w:tblPrEx>
        <w:trPr>
          <w:trHeight w:val="278"/>
          <w:jc w:val="center"/>
        </w:trPr>
        <w:tc>
          <w:tcPr>
            <w:tcW w:w="453"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10</w:t>
            </w:r>
          </w:p>
        </w:tc>
        <w:tc>
          <w:tcPr>
            <w:tcW w:w="379" w:type="pct"/>
            <w:shd w:val="clear" w:color="auto" w:fill="FFFFFF"/>
            <w:vAlign w:val="bottom"/>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10</w:t>
            </w:r>
          </w:p>
        </w:tc>
        <w:tc>
          <w:tcPr>
            <w:tcW w:w="152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ООО "СК "Ренессанс Жизнь" (лиц. 3972)</w:t>
            </w:r>
          </w:p>
        </w:tc>
        <w:tc>
          <w:tcPr>
            <w:tcW w:w="867"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57.1</w:t>
            </w:r>
          </w:p>
        </w:tc>
        <w:tc>
          <w:tcPr>
            <w:tcW w:w="873"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24.4%</w:t>
            </w:r>
          </w:p>
        </w:tc>
        <w:tc>
          <w:tcPr>
            <w:tcW w:w="899" w:type="pct"/>
            <w:shd w:val="clear" w:color="auto" w:fill="FFFFFF"/>
          </w:tcPr>
          <w:p w:rsidR="00982CE7" w:rsidRPr="00870E5D" w:rsidRDefault="00982CE7" w:rsidP="0044027A">
            <w:pPr>
              <w:pStyle w:val="a5"/>
              <w:rPr>
                <w:rFonts w:ascii="Times New Roman" w:hAnsi="Times New Roman" w:cs="Times New Roman"/>
                <w:sz w:val="24"/>
                <w:szCs w:val="24"/>
              </w:rPr>
            </w:pPr>
            <w:r w:rsidRPr="00870E5D">
              <w:rPr>
                <w:rFonts w:ascii="Times New Roman" w:hAnsi="Times New Roman" w:cs="Times New Roman"/>
                <w:sz w:val="24"/>
                <w:szCs w:val="24"/>
              </w:rPr>
              <w:t>33.3%</w:t>
            </w:r>
          </w:p>
        </w:tc>
      </w:tr>
    </w:tbl>
    <w:p w:rsidR="00982CE7" w:rsidRPr="00574E72" w:rsidRDefault="00982CE7" w:rsidP="00574E72">
      <w:pPr>
        <w:pStyle w:val="a5"/>
        <w:spacing w:line="360" w:lineRule="auto"/>
        <w:ind w:firstLine="709"/>
        <w:jc w:val="both"/>
        <w:rPr>
          <w:rFonts w:ascii="Times New Roman" w:hAnsi="Times New Roman" w:cs="Times New Roman"/>
          <w:sz w:val="28"/>
          <w:szCs w:val="28"/>
        </w:rPr>
      </w:pPr>
    </w:p>
    <w:p w:rsidR="004A26ED" w:rsidRDefault="003A60DB" w:rsidP="00574E72">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Наилучшую динамику среди ТОП-30 компаний по итогам 2021 года продемонстрировала "</w:t>
      </w:r>
      <w:proofErr w:type="spellStart"/>
      <w:r w:rsidRPr="00574E72">
        <w:rPr>
          <w:rFonts w:ascii="Times New Roman" w:hAnsi="Times New Roman" w:cs="Times New Roman"/>
          <w:sz w:val="28"/>
          <w:szCs w:val="28"/>
        </w:rPr>
        <w:t>Совкомбанк</w:t>
      </w:r>
      <w:proofErr w:type="spellEnd"/>
      <w:r w:rsidRPr="00574E72">
        <w:rPr>
          <w:rFonts w:ascii="Times New Roman" w:hAnsi="Times New Roman" w:cs="Times New Roman"/>
          <w:sz w:val="28"/>
          <w:szCs w:val="28"/>
        </w:rPr>
        <w:t xml:space="preserve"> страхование". Объем страховых премий этой компании вырос более чем в 2 раза, что позволило ей подняться на 9 позиций до 20-о места в текущем рейтинге. На втором месте по темпам прироста страховых премий находится страховая компания "УРАЛСИБ Жизнь", объем премий которой вырос на 55%.</w:t>
      </w:r>
    </w:p>
    <w:p w:rsidR="004A26ED" w:rsidRDefault="004A26ED" w:rsidP="00574E72">
      <w:pPr>
        <w:pStyle w:val="a5"/>
        <w:spacing w:line="360" w:lineRule="auto"/>
        <w:ind w:firstLine="709"/>
        <w:jc w:val="both"/>
        <w:rPr>
          <w:rFonts w:ascii="Times New Roman" w:hAnsi="Times New Roman" w:cs="Times New Roman"/>
          <w:sz w:val="28"/>
          <w:szCs w:val="28"/>
        </w:rPr>
      </w:pPr>
    </w:p>
    <w:p w:rsidR="004A26ED" w:rsidRDefault="004A26ED" w:rsidP="00574E72">
      <w:pPr>
        <w:pStyle w:val="a5"/>
        <w:spacing w:line="360" w:lineRule="auto"/>
        <w:ind w:firstLine="709"/>
        <w:jc w:val="both"/>
        <w:rPr>
          <w:rFonts w:ascii="Times New Roman" w:hAnsi="Times New Roman" w:cs="Times New Roman"/>
          <w:sz w:val="28"/>
          <w:szCs w:val="28"/>
        </w:rPr>
      </w:pPr>
      <w:r>
        <w:rPr>
          <w:noProof/>
        </w:rPr>
        <w:lastRenderedPageBreak/>
        <w:drawing>
          <wp:inline distT="0" distB="0" distL="0" distR="0" wp14:anchorId="6CBE171B" wp14:editId="538944FE">
            <wp:extent cx="5143500" cy="3517557"/>
            <wp:effectExtent l="0" t="0" r="0" b="6985"/>
            <wp:docPr id="1" name="Диаграмма 1">
              <a:extLst xmlns:a="http://schemas.openxmlformats.org/drawingml/2006/main">
                <a:ext uri="{FF2B5EF4-FFF2-40B4-BE49-F238E27FC236}">
                  <a16:creationId xmlns:a16="http://schemas.microsoft.com/office/drawing/2014/main" id="{66C9AAF7-34CF-4E69-BB8B-3ED0F4E40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26ED" w:rsidRDefault="00781237" w:rsidP="00781237">
      <w:pPr>
        <w:pStyle w:val="a5"/>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2 -Рейтинг страховых компаний 2021 году</w:t>
      </w:r>
      <w:r w:rsidR="0074177C">
        <w:rPr>
          <w:rStyle w:val="af0"/>
          <w:rFonts w:ascii="Times New Roman" w:hAnsi="Times New Roman" w:cs="Times New Roman"/>
          <w:sz w:val="28"/>
          <w:szCs w:val="28"/>
        </w:rPr>
        <w:footnoteReference w:id="11"/>
      </w:r>
    </w:p>
    <w:p w:rsidR="00781237" w:rsidRDefault="00781237" w:rsidP="00574E72">
      <w:pPr>
        <w:pStyle w:val="a5"/>
        <w:spacing w:line="360" w:lineRule="auto"/>
        <w:ind w:firstLine="709"/>
        <w:jc w:val="both"/>
        <w:rPr>
          <w:rFonts w:ascii="Times New Roman" w:hAnsi="Times New Roman" w:cs="Times New Roman"/>
          <w:sz w:val="28"/>
          <w:szCs w:val="28"/>
        </w:rPr>
      </w:pPr>
    </w:p>
    <w:p w:rsidR="00BE07E1" w:rsidRDefault="003A60DB" w:rsidP="00574E72">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 xml:space="preserve"> В рейтинге по итогам 2021 года страховая компания "УРАЛСИБ Жизнь" поднялась до 28-о места (+8 позиций за год). Третье место по темпам прироста у компании "Русский Стандарт Страхование", у нее прирост объема премий за год составил 51% (+7 позиция, 25-е место). </w:t>
      </w:r>
    </w:p>
    <w:p w:rsidR="00BE07E1" w:rsidRDefault="00BE07E1" w:rsidP="00574E72">
      <w:pPr>
        <w:pStyle w:val="a5"/>
        <w:spacing w:line="360" w:lineRule="auto"/>
        <w:ind w:firstLine="709"/>
        <w:jc w:val="both"/>
        <w:rPr>
          <w:rFonts w:ascii="Times New Roman" w:hAnsi="Times New Roman" w:cs="Times New Roman"/>
          <w:sz w:val="28"/>
          <w:szCs w:val="28"/>
        </w:rPr>
      </w:pPr>
      <w:r>
        <w:rPr>
          <w:noProof/>
        </w:rPr>
        <w:lastRenderedPageBreak/>
        <w:drawing>
          <wp:inline distT="0" distB="0" distL="0" distR="0" wp14:anchorId="3052DA6D" wp14:editId="75925DD6">
            <wp:extent cx="5207635" cy="2825578"/>
            <wp:effectExtent l="0" t="0" r="12065" b="13335"/>
            <wp:docPr id="2" name="Диаграмма 2">
              <a:extLst xmlns:a="http://schemas.openxmlformats.org/drawingml/2006/main">
                <a:ext uri="{FF2B5EF4-FFF2-40B4-BE49-F238E27FC236}">
                  <a16:creationId xmlns:a16="http://schemas.microsoft.com/office/drawing/2014/main" id="{D8EAB0C9-7479-4A9B-A610-58906F605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07E1" w:rsidRDefault="00BE07E1" w:rsidP="00574E72">
      <w:pPr>
        <w:pStyle w:val="a5"/>
        <w:spacing w:line="360" w:lineRule="auto"/>
        <w:ind w:firstLine="709"/>
        <w:jc w:val="both"/>
        <w:rPr>
          <w:rFonts w:ascii="Times New Roman" w:hAnsi="Times New Roman" w:cs="Times New Roman"/>
          <w:sz w:val="28"/>
          <w:szCs w:val="28"/>
        </w:rPr>
      </w:pPr>
    </w:p>
    <w:p w:rsidR="00BE07E1" w:rsidRDefault="00BE07E1" w:rsidP="00BE07E1">
      <w:pPr>
        <w:pStyle w:val="a5"/>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74177C">
        <w:rPr>
          <w:rFonts w:ascii="Times New Roman" w:hAnsi="Times New Roman" w:cs="Times New Roman"/>
          <w:sz w:val="28"/>
          <w:szCs w:val="28"/>
        </w:rPr>
        <w:t>3</w:t>
      </w:r>
      <w:r>
        <w:rPr>
          <w:rFonts w:ascii="Times New Roman" w:hAnsi="Times New Roman" w:cs="Times New Roman"/>
          <w:sz w:val="28"/>
          <w:szCs w:val="28"/>
        </w:rPr>
        <w:t xml:space="preserve">- </w:t>
      </w:r>
      <w:r w:rsidRPr="00BE07E1">
        <w:rPr>
          <w:rFonts w:ascii="Times New Roman" w:hAnsi="Times New Roman" w:cs="Times New Roman"/>
          <w:sz w:val="28"/>
          <w:szCs w:val="28"/>
        </w:rPr>
        <w:t>Количество действующих страховых договоров</w:t>
      </w:r>
      <w:r w:rsidR="0074177C">
        <w:rPr>
          <w:rStyle w:val="af0"/>
          <w:rFonts w:ascii="Times New Roman" w:hAnsi="Times New Roman" w:cs="Times New Roman"/>
          <w:sz w:val="28"/>
          <w:szCs w:val="28"/>
        </w:rPr>
        <w:footnoteReference w:id="12"/>
      </w:r>
    </w:p>
    <w:p w:rsidR="00BE07E1" w:rsidRDefault="00BE07E1" w:rsidP="00574E72">
      <w:pPr>
        <w:pStyle w:val="a5"/>
        <w:spacing w:line="360" w:lineRule="auto"/>
        <w:ind w:firstLine="709"/>
        <w:jc w:val="both"/>
        <w:rPr>
          <w:rFonts w:ascii="Times New Roman" w:hAnsi="Times New Roman" w:cs="Times New Roman"/>
          <w:sz w:val="28"/>
          <w:szCs w:val="28"/>
        </w:rPr>
      </w:pPr>
    </w:p>
    <w:p w:rsidR="00982CE7" w:rsidRDefault="003A60DB" w:rsidP="00574E72">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Стоит отметить, что еще 2 страховых компаний из первой тридцатки характеризовались приростом более чем на 40%, а еще 11 – более 20%.</w:t>
      </w:r>
    </w:p>
    <w:p w:rsidR="00BE07E1" w:rsidRDefault="00525A8A" w:rsidP="00574E72">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касается прогноза, то о</w:t>
      </w:r>
      <w:r w:rsidR="00982CE7" w:rsidRPr="00574E72">
        <w:rPr>
          <w:rFonts w:ascii="Times New Roman" w:hAnsi="Times New Roman" w:cs="Times New Roman"/>
          <w:sz w:val="28"/>
          <w:szCs w:val="28"/>
        </w:rPr>
        <w:t xml:space="preserve">сновным фактором, определяющим динамику страхового рынка в 2022 году, станет движение ключевой ставки. Одновременно тормозящее влияние окажут изменение условий программ льготной ипотеки, дополнительные меры регулятора по охлаждению рынка потребкредитования, а также сохраняющийся на рынке дефицит новых автомобилей. Замедление темпов прироста премий будет отмечаться в большинстве сегментов страхового рынка, при этом сокращения премий не ожидается. </w:t>
      </w:r>
    </w:p>
    <w:p w:rsidR="00F2194C" w:rsidRDefault="00F2194C" w:rsidP="00F2194C">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 xml:space="preserve">В 2022 году темпы прироста по большинству крупнейших видов снизятся, но останутся в положительной зоне. Рост кредитных ставок, введение дополнительных </w:t>
      </w:r>
      <w:proofErr w:type="spellStart"/>
      <w:r w:rsidRPr="00574E72">
        <w:rPr>
          <w:rFonts w:ascii="Times New Roman" w:hAnsi="Times New Roman" w:cs="Times New Roman"/>
          <w:sz w:val="28"/>
          <w:szCs w:val="28"/>
        </w:rPr>
        <w:t>макропруденциальных</w:t>
      </w:r>
      <w:proofErr w:type="spellEnd"/>
      <w:r w:rsidRPr="00574E72">
        <w:rPr>
          <w:rFonts w:ascii="Times New Roman" w:hAnsi="Times New Roman" w:cs="Times New Roman"/>
          <w:sz w:val="28"/>
          <w:szCs w:val="28"/>
        </w:rPr>
        <w:t xml:space="preserve"> ограничений для потребкредитов, а также изменение условий льготных ипотечных программ </w:t>
      </w:r>
      <w:r w:rsidRPr="00574E72">
        <w:rPr>
          <w:rFonts w:ascii="Times New Roman" w:hAnsi="Times New Roman" w:cs="Times New Roman"/>
          <w:sz w:val="28"/>
          <w:szCs w:val="28"/>
        </w:rPr>
        <w:lastRenderedPageBreak/>
        <w:t xml:space="preserve">окажут охлаждающий эффект на динамику видов, связанных с кредитованием. Объем премий по страхованию от несчастных случаев и болезней вырастет на 9-11%, по страхованию имущества физических лиц на 3-5%. </w:t>
      </w:r>
    </w:p>
    <w:p w:rsidR="00F2194C" w:rsidRDefault="00F2194C" w:rsidP="00F2194C">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 xml:space="preserve">Увеличившаяся стоимость автомобилей, автозапчастей и ремонта окажет повышающее влияние на динамику сегмента страхования автокаско в результате роста средней стоимости полиса. В то же время сохранение дефицита новых автомобилей будет, напротив, сдерживать рост этого сегмента за счет влияния на динамику числа заключаемых договоров. </w:t>
      </w:r>
    </w:p>
    <w:p w:rsidR="00F2194C" w:rsidRPr="00574E72" w:rsidRDefault="00F2194C" w:rsidP="00F2194C">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 xml:space="preserve">Таким образом, темпы прироста премий по страхованию автокаско замедлятся до 5-7%. </w:t>
      </w:r>
      <w:r w:rsidR="00E2570B">
        <w:rPr>
          <w:rFonts w:ascii="Times New Roman" w:hAnsi="Times New Roman" w:cs="Times New Roman"/>
          <w:sz w:val="28"/>
          <w:szCs w:val="28"/>
        </w:rPr>
        <w:t xml:space="preserve"> </w:t>
      </w:r>
      <w:r w:rsidRPr="00574E72">
        <w:rPr>
          <w:rFonts w:ascii="Times New Roman" w:hAnsi="Times New Roman" w:cs="Times New Roman"/>
          <w:sz w:val="28"/>
          <w:szCs w:val="28"/>
        </w:rPr>
        <w:t xml:space="preserve"> Темпы прироста премий ожидаются на уровне 8-10%. В страховании имущества юридических лиц будет наблюдаться умеренный прирост на 3-5%.</w:t>
      </w:r>
    </w:p>
    <w:p w:rsidR="00F2194C" w:rsidRDefault="00F2194C" w:rsidP="00F2194C">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 xml:space="preserve">Страхование жизни продолжит быть драйвером рынка. Увеличение банковских ставок будет тормозить динамику кредитного страхования жизни, а также повышать привлекательность депозитов, тем самым снижая интерес клиентов к накопительному и инвестиционному страхованию жизни. Активный рост страхования жизни заемщиков в 2022 году вслед за розничным кредитованием замедлится до 15%, объем сегмента составит 155 млрд рублей. </w:t>
      </w:r>
    </w:p>
    <w:p w:rsidR="00F2194C" w:rsidRPr="00574E72" w:rsidRDefault="00F2194C" w:rsidP="00F2194C">
      <w:pPr>
        <w:pStyle w:val="a5"/>
        <w:spacing w:line="360" w:lineRule="auto"/>
        <w:ind w:firstLine="709"/>
        <w:jc w:val="both"/>
        <w:rPr>
          <w:rFonts w:ascii="Times New Roman" w:hAnsi="Times New Roman" w:cs="Times New Roman"/>
          <w:sz w:val="28"/>
          <w:szCs w:val="28"/>
        </w:rPr>
      </w:pPr>
      <w:r w:rsidRPr="00574E72">
        <w:rPr>
          <w:rFonts w:ascii="Times New Roman" w:hAnsi="Times New Roman" w:cs="Times New Roman"/>
          <w:sz w:val="28"/>
          <w:szCs w:val="28"/>
        </w:rPr>
        <w:t>НСЖ и ИСЖ будут расти умеренными темпами на уровне 15% и 10% соответственно. Согласно прогнозу «Эксперт РА», рынок страхования жизни в 2022 году вырастет примерно на 13%, до 590 млрд рублей. Отклонения от прогноза возможны в случае изменений в регулировании продаж ИСЖ и НСЖ, которые приведут к необходимости значительной трансформации практики продвижения этих страховых продуктов через банки</w:t>
      </w:r>
      <w:r w:rsidR="0074177C">
        <w:rPr>
          <w:rStyle w:val="af0"/>
          <w:rFonts w:ascii="Times New Roman" w:hAnsi="Times New Roman" w:cs="Times New Roman"/>
          <w:sz w:val="28"/>
          <w:szCs w:val="28"/>
        </w:rPr>
        <w:footnoteReference w:id="13"/>
      </w:r>
      <w:r w:rsidRPr="00574E72">
        <w:rPr>
          <w:rFonts w:ascii="Times New Roman" w:hAnsi="Times New Roman" w:cs="Times New Roman"/>
          <w:sz w:val="28"/>
          <w:szCs w:val="28"/>
        </w:rPr>
        <w:t>.</w:t>
      </w:r>
    </w:p>
    <w:p w:rsidR="00454B3D" w:rsidRPr="00454B3D" w:rsidRDefault="00454B3D" w:rsidP="00454B3D">
      <w:pPr>
        <w:pStyle w:val="a6"/>
        <w:numPr>
          <w:ilvl w:val="0"/>
          <w:numId w:val="1"/>
        </w:numPr>
        <w:jc w:val="center"/>
        <w:outlineLvl w:val="0"/>
        <w:rPr>
          <w:rFonts w:ascii="Times New Roman" w:hAnsi="Times New Roman" w:cs="Times New Roman"/>
          <w:b/>
          <w:sz w:val="28"/>
          <w:szCs w:val="28"/>
        </w:rPr>
      </w:pPr>
      <w:bookmarkStart w:id="6" w:name="_Toc104221805"/>
      <w:r w:rsidRPr="00454B3D">
        <w:rPr>
          <w:rFonts w:ascii="Times New Roman" w:hAnsi="Times New Roman" w:cs="Times New Roman"/>
          <w:b/>
          <w:sz w:val="28"/>
          <w:szCs w:val="28"/>
        </w:rPr>
        <w:lastRenderedPageBreak/>
        <w:t>Перспективы и векторы развития страхования</w:t>
      </w:r>
      <w:bookmarkEnd w:id="6"/>
    </w:p>
    <w:p w:rsidR="00454B3D" w:rsidRDefault="00454B3D" w:rsidP="003F53A4"/>
    <w:p w:rsidR="00F2194C" w:rsidRPr="00E2570B" w:rsidRDefault="00525A8A" w:rsidP="00E2570B">
      <w:pPr>
        <w:pStyle w:val="a5"/>
        <w:spacing w:line="360" w:lineRule="auto"/>
        <w:ind w:firstLine="709"/>
        <w:jc w:val="both"/>
        <w:rPr>
          <w:rFonts w:ascii="Times New Roman" w:hAnsi="Times New Roman" w:cs="Times New Roman"/>
          <w:sz w:val="28"/>
          <w:szCs w:val="28"/>
        </w:rPr>
      </w:pPr>
      <w:r w:rsidRPr="00E2570B">
        <w:rPr>
          <w:rFonts w:ascii="Times New Roman" w:hAnsi="Times New Roman" w:cs="Times New Roman"/>
          <w:sz w:val="28"/>
          <w:szCs w:val="28"/>
        </w:rPr>
        <w:t xml:space="preserve"> Как отмечают эксперты в 2020 году произошел рост интереса страхователей к новым программам страховщиков, которые обеспечивают страхование на случай заболевания COVID-19. Однако не все страховые компании были способными предоставить своим клиентам данную услугу. Среди отечественных страховых компаний, которые все же создали отдельные программы по защите населения от коронавируса, можно назвать следующие:</w:t>
      </w:r>
      <w:r w:rsidR="00E2570B">
        <w:rPr>
          <w:rFonts w:ascii="Times New Roman" w:hAnsi="Times New Roman" w:cs="Times New Roman"/>
          <w:sz w:val="28"/>
          <w:szCs w:val="28"/>
        </w:rPr>
        <w:t xml:space="preserve"> </w:t>
      </w:r>
      <w:r w:rsidR="00F2194C" w:rsidRPr="00E2570B">
        <w:rPr>
          <w:rFonts w:ascii="Times New Roman" w:hAnsi="Times New Roman" w:cs="Times New Roman"/>
          <w:sz w:val="28"/>
          <w:szCs w:val="28"/>
        </w:rPr>
        <w:t>АО "СОГАЗ", ООО СК "Сбербанк страхование жизни</w:t>
      </w:r>
      <w:proofErr w:type="gramStart"/>
      <w:r w:rsidR="00F2194C" w:rsidRPr="00E2570B">
        <w:rPr>
          <w:rFonts w:ascii="Times New Roman" w:hAnsi="Times New Roman" w:cs="Times New Roman"/>
          <w:sz w:val="28"/>
          <w:szCs w:val="28"/>
        </w:rPr>
        <w:t>" ,</w:t>
      </w:r>
      <w:proofErr w:type="gramEnd"/>
      <w:r w:rsidR="00F2194C" w:rsidRPr="00E2570B">
        <w:rPr>
          <w:rFonts w:ascii="Times New Roman" w:hAnsi="Times New Roman" w:cs="Times New Roman"/>
          <w:sz w:val="28"/>
          <w:szCs w:val="28"/>
        </w:rPr>
        <w:t xml:space="preserve"> АО "АльфаСтрахование" </w:t>
      </w:r>
      <w:r w:rsidR="00E2570B">
        <w:rPr>
          <w:rFonts w:ascii="Times New Roman" w:hAnsi="Times New Roman" w:cs="Times New Roman"/>
          <w:sz w:val="28"/>
          <w:szCs w:val="28"/>
        </w:rPr>
        <w:t xml:space="preserve">; </w:t>
      </w:r>
      <w:r w:rsidR="00F2194C" w:rsidRPr="00E2570B">
        <w:rPr>
          <w:rFonts w:ascii="Times New Roman" w:hAnsi="Times New Roman" w:cs="Times New Roman"/>
          <w:sz w:val="28"/>
          <w:szCs w:val="28"/>
        </w:rPr>
        <w:t>СП АО "Ингосстрах"</w:t>
      </w:r>
      <w:r w:rsidR="0074177C">
        <w:rPr>
          <w:rStyle w:val="af0"/>
          <w:rFonts w:ascii="Times New Roman" w:hAnsi="Times New Roman" w:cs="Times New Roman"/>
          <w:sz w:val="28"/>
          <w:szCs w:val="28"/>
        </w:rPr>
        <w:footnoteReference w:id="14"/>
      </w:r>
      <w:r w:rsidR="00F2194C" w:rsidRPr="00E2570B">
        <w:rPr>
          <w:rFonts w:ascii="Times New Roman" w:hAnsi="Times New Roman" w:cs="Times New Roman"/>
          <w:sz w:val="28"/>
          <w:szCs w:val="28"/>
        </w:rPr>
        <w:t xml:space="preserve"> .</w:t>
      </w:r>
    </w:p>
    <w:p w:rsidR="00525A8A" w:rsidRPr="00E2570B" w:rsidRDefault="00525A8A" w:rsidP="00E2570B">
      <w:pPr>
        <w:pStyle w:val="a5"/>
        <w:spacing w:line="360" w:lineRule="auto"/>
        <w:ind w:firstLine="709"/>
        <w:jc w:val="both"/>
        <w:rPr>
          <w:rFonts w:ascii="Times New Roman" w:hAnsi="Times New Roman" w:cs="Times New Roman"/>
          <w:sz w:val="28"/>
          <w:szCs w:val="28"/>
        </w:rPr>
      </w:pPr>
      <w:r w:rsidRPr="00E2570B">
        <w:rPr>
          <w:rFonts w:ascii="Times New Roman" w:hAnsi="Times New Roman" w:cs="Times New Roman"/>
          <w:sz w:val="28"/>
          <w:szCs w:val="28"/>
        </w:rPr>
        <w:t>. По каждой из представленных программ страховые компании должны выплатить страховую сумму застрахованному лицу в случае: расстройства здоровья из-за заражения вирусом COVID19; смерти в результате инфицирования вирусом COVID-19.</w:t>
      </w:r>
    </w:p>
    <w:p w:rsidR="00525A8A" w:rsidRPr="00525A8A" w:rsidRDefault="00261023" w:rsidP="00525A8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же с учётом</w:t>
      </w:r>
      <w:r w:rsidR="00525A8A" w:rsidRPr="00525A8A">
        <w:rPr>
          <w:rFonts w:ascii="Times New Roman" w:hAnsi="Times New Roman" w:cs="Times New Roman"/>
          <w:sz w:val="28"/>
          <w:szCs w:val="28"/>
        </w:rPr>
        <w:t xml:space="preserve"> пандемии</w:t>
      </w:r>
      <w:r>
        <w:rPr>
          <w:rFonts w:ascii="Times New Roman" w:hAnsi="Times New Roman" w:cs="Times New Roman"/>
          <w:sz w:val="28"/>
          <w:szCs w:val="28"/>
        </w:rPr>
        <w:t xml:space="preserve"> и нововведённых санкций</w:t>
      </w:r>
      <w:r w:rsidR="00525A8A" w:rsidRPr="00525A8A">
        <w:rPr>
          <w:rFonts w:ascii="Times New Roman" w:hAnsi="Times New Roman" w:cs="Times New Roman"/>
          <w:sz w:val="28"/>
          <w:szCs w:val="28"/>
        </w:rPr>
        <w:t xml:space="preserve"> технологические разработки стали особенно важны для развития новых методик предоставление услуг. Сегодня страховщики интегрируют технологии в свой бизнес, онлайн-каналы. Большинство страховые компании осуществили трансформацию собственных продуктов в формат электронных полисов. Спрос среди страхователей на онлайн-сервисы достаточно высоко, что прежде всего связано со стремлением снизить риски заболеть, посещая офисы страховых компаний. </w:t>
      </w:r>
    </w:p>
    <w:p w:rsid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Проблемными последствиями </w:t>
      </w:r>
      <w:r w:rsidR="00261023">
        <w:rPr>
          <w:rFonts w:ascii="Times New Roman" w:hAnsi="Times New Roman" w:cs="Times New Roman"/>
          <w:sz w:val="28"/>
          <w:szCs w:val="28"/>
        </w:rPr>
        <w:t>политических и экономических потрясений</w:t>
      </w:r>
      <w:r w:rsidRPr="00525A8A">
        <w:rPr>
          <w:rFonts w:ascii="Times New Roman" w:hAnsi="Times New Roman" w:cs="Times New Roman"/>
          <w:sz w:val="28"/>
          <w:szCs w:val="28"/>
        </w:rPr>
        <w:t xml:space="preserve"> для страховщиков являются: </w:t>
      </w:r>
    </w:p>
    <w:p w:rsidR="00261023" w:rsidRDefault="00261023"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неблагоприятная политическая и экономическая ситуация в стране; – несовершенная нормативно-правовая база; – недостаточность финансового обеспечения населения; – отсутствие доверия населения к </w:t>
      </w:r>
      <w:r w:rsidRPr="00525A8A">
        <w:rPr>
          <w:rFonts w:ascii="Times New Roman" w:hAnsi="Times New Roman" w:cs="Times New Roman"/>
          <w:sz w:val="28"/>
          <w:szCs w:val="28"/>
        </w:rPr>
        <w:lastRenderedPageBreak/>
        <w:t>страховым компаниям и низкий уровень владения информацией о состоянии и возможностях страхового рынка;</w:t>
      </w:r>
    </w:p>
    <w:p w:rsidR="00261023" w:rsidRPr="00525A8A" w:rsidRDefault="00261023"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обесценивание национальной валюты; – несоответствие роли и места страхования задачам, стоящим перед Украиной в современных условиях формирования рыночной экономики; – неполное соответствие современного состояния страхового рынке тенденциям развития мирового страхового рынка.</w:t>
      </w:r>
    </w:p>
    <w:p w:rsidR="00525A8A" w:rsidRP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сокращение доли страховых премий по авиа-страхованию и страхованию имущества.</w:t>
      </w:r>
    </w:p>
    <w:p w:rsidR="00525A8A" w:rsidRP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 уменьшение количества контрактов, касающихся страхования нового автомобиля. </w:t>
      </w:r>
    </w:p>
    <w:p w:rsidR="00525A8A" w:rsidRP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сложность в организации удаленного обслуживания клиентов сотрудниками страховой компании, а именно оценщиков страховых убытков.</w:t>
      </w:r>
    </w:p>
    <w:p w:rsidR="00525A8A" w:rsidRP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 ликвидация малых страховых компаний, которые не смогли организовать качественные онлайн-сервисы.</w:t>
      </w:r>
    </w:p>
    <w:p w:rsidR="00261023" w:rsidRDefault="00261023" w:rsidP="00525A8A">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5A8A" w:rsidRPr="00525A8A">
        <w:rPr>
          <w:rFonts w:ascii="Times New Roman" w:hAnsi="Times New Roman" w:cs="Times New Roman"/>
          <w:sz w:val="28"/>
          <w:szCs w:val="28"/>
        </w:rPr>
        <w:t xml:space="preserve"> Следовательно, для преодоления указанных проблем и эффективного функционирования страхового рынка </w:t>
      </w:r>
      <w:r>
        <w:rPr>
          <w:rFonts w:ascii="Times New Roman" w:hAnsi="Times New Roman" w:cs="Times New Roman"/>
          <w:sz w:val="28"/>
          <w:szCs w:val="28"/>
        </w:rPr>
        <w:t>России</w:t>
      </w:r>
      <w:r w:rsidR="00525A8A" w:rsidRPr="00525A8A">
        <w:rPr>
          <w:rFonts w:ascii="Times New Roman" w:hAnsi="Times New Roman" w:cs="Times New Roman"/>
          <w:sz w:val="28"/>
          <w:szCs w:val="28"/>
        </w:rPr>
        <w:t xml:space="preserve"> стоит принять следующие меры</w:t>
      </w:r>
      <w:r w:rsidR="0074177C">
        <w:rPr>
          <w:rStyle w:val="af0"/>
          <w:rFonts w:ascii="Times New Roman" w:hAnsi="Times New Roman" w:cs="Times New Roman"/>
          <w:sz w:val="28"/>
          <w:szCs w:val="28"/>
        </w:rPr>
        <w:footnoteReference w:id="15"/>
      </w:r>
      <w:r w:rsidR="00525A8A" w:rsidRPr="00525A8A">
        <w:rPr>
          <w:rFonts w:ascii="Times New Roman" w:hAnsi="Times New Roman" w:cs="Times New Roman"/>
          <w:sz w:val="28"/>
          <w:szCs w:val="28"/>
        </w:rPr>
        <w:t xml:space="preserve">: </w:t>
      </w:r>
    </w:p>
    <w:p w:rsidR="00261023" w:rsidRPr="00525A8A" w:rsidRDefault="00261023" w:rsidP="00261023">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изменение </w:t>
      </w:r>
      <w:proofErr w:type="spellStart"/>
      <w:r w:rsidRPr="00525A8A">
        <w:rPr>
          <w:rFonts w:ascii="Times New Roman" w:hAnsi="Times New Roman" w:cs="Times New Roman"/>
          <w:sz w:val="28"/>
          <w:szCs w:val="28"/>
        </w:rPr>
        <w:t>заокианского</w:t>
      </w:r>
      <w:proofErr w:type="spellEnd"/>
      <w:r w:rsidRPr="00525A8A">
        <w:rPr>
          <w:rFonts w:ascii="Times New Roman" w:hAnsi="Times New Roman" w:cs="Times New Roman"/>
          <w:sz w:val="28"/>
          <w:szCs w:val="28"/>
        </w:rPr>
        <w:t xml:space="preserve"> капитала на отечественный. Так, российский</w:t>
      </w:r>
      <w:r>
        <w:rPr>
          <w:rFonts w:ascii="Times New Roman" w:hAnsi="Times New Roman" w:cs="Times New Roman"/>
          <w:sz w:val="28"/>
          <w:szCs w:val="28"/>
        </w:rPr>
        <w:t xml:space="preserve"> </w:t>
      </w:r>
      <w:r w:rsidRPr="00525A8A">
        <w:rPr>
          <w:rFonts w:ascii="Times New Roman" w:hAnsi="Times New Roman" w:cs="Times New Roman"/>
          <w:sz w:val="28"/>
          <w:szCs w:val="28"/>
        </w:rPr>
        <w:t>рынок покинули иностранные страховщики</w:t>
      </w:r>
      <w:r>
        <w:rPr>
          <w:rFonts w:ascii="Times New Roman" w:hAnsi="Times New Roman" w:cs="Times New Roman"/>
          <w:sz w:val="28"/>
          <w:szCs w:val="28"/>
        </w:rPr>
        <w:t>;</w:t>
      </w:r>
    </w:p>
    <w:p w:rsidR="00261023" w:rsidRDefault="00261023" w:rsidP="00261023">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продолжение укрупнения и перераспределения страхового рынка. </w:t>
      </w:r>
    </w:p>
    <w:p w:rsidR="00261023"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применение новейших технологий и внедрение инноваций в страховой деятельности; </w:t>
      </w:r>
    </w:p>
    <w:p w:rsidR="00261023"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усовершенствование законодательной базы; </w:t>
      </w:r>
    </w:p>
    <w:p w:rsidR="00261023"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внедрение международных стандартов ведения страховой деятельности; </w:t>
      </w:r>
    </w:p>
    <w:p w:rsidR="00261023"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lastRenderedPageBreak/>
        <w:t xml:space="preserve">– определение надежной и эффективной стратегии развития страхового рынка </w:t>
      </w:r>
      <w:r w:rsidR="00261023">
        <w:rPr>
          <w:rFonts w:ascii="Times New Roman" w:hAnsi="Times New Roman" w:cs="Times New Roman"/>
          <w:sz w:val="28"/>
          <w:szCs w:val="28"/>
        </w:rPr>
        <w:t>России</w:t>
      </w:r>
      <w:r w:rsidRPr="00525A8A">
        <w:rPr>
          <w:rFonts w:ascii="Times New Roman" w:hAnsi="Times New Roman" w:cs="Times New Roman"/>
          <w:sz w:val="28"/>
          <w:szCs w:val="28"/>
        </w:rPr>
        <w:t xml:space="preserve">; </w:t>
      </w:r>
    </w:p>
    <w:p w:rsidR="00261023"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принятие просветительских мер населения для популяризации страховых услуг. </w:t>
      </w:r>
    </w:p>
    <w:p w:rsidR="00525A8A" w:rsidRP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Обобщая вышеперечисленное, можем утверждать, что страховой рынок России находится на этапе развития и интеграции.</w:t>
      </w:r>
    </w:p>
    <w:p w:rsidR="00525A8A" w:rsidRPr="00525A8A" w:rsidRDefault="00525A8A" w:rsidP="00525A8A">
      <w:pPr>
        <w:pStyle w:val="a5"/>
        <w:spacing w:line="360" w:lineRule="auto"/>
        <w:ind w:firstLine="709"/>
        <w:jc w:val="both"/>
        <w:rPr>
          <w:rFonts w:ascii="Times New Roman" w:hAnsi="Times New Roman" w:cs="Times New Roman"/>
          <w:sz w:val="28"/>
          <w:szCs w:val="28"/>
        </w:rPr>
      </w:pPr>
      <w:r w:rsidRPr="00525A8A">
        <w:rPr>
          <w:rFonts w:ascii="Times New Roman" w:hAnsi="Times New Roman" w:cs="Times New Roman"/>
          <w:sz w:val="28"/>
          <w:szCs w:val="28"/>
        </w:rPr>
        <w:t xml:space="preserve"> Пандемия</w:t>
      </w:r>
      <w:r w:rsidR="00261023">
        <w:rPr>
          <w:rFonts w:ascii="Times New Roman" w:hAnsi="Times New Roman" w:cs="Times New Roman"/>
          <w:sz w:val="28"/>
          <w:szCs w:val="28"/>
        </w:rPr>
        <w:t>, экономические и политические потрясения</w:t>
      </w:r>
      <w:r w:rsidRPr="00525A8A">
        <w:rPr>
          <w:rFonts w:ascii="Times New Roman" w:hAnsi="Times New Roman" w:cs="Times New Roman"/>
          <w:sz w:val="28"/>
          <w:szCs w:val="28"/>
        </w:rPr>
        <w:t xml:space="preserve"> привела как к положительным, так и негативным последствиям в деятельности отечественных. страховщиков. Именно </w:t>
      </w:r>
      <w:r w:rsidR="00261023">
        <w:rPr>
          <w:rFonts w:ascii="Times New Roman" w:hAnsi="Times New Roman" w:cs="Times New Roman"/>
          <w:sz w:val="28"/>
          <w:szCs w:val="28"/>
        </w:rPr>
        <w:t>эти события являются драйверами</w:t>
      </w:r>
      <w:r w:rsidRPr="00525A8A">
        <w:rPr>
          <w:rFonts w:ascii="Times New Roman" w:hAnsi="Times New Roman" w:cs="Times New Roman"/>
          <w:sz w:val="28"/>
          <w:szCs w:val="28"/>
        </w:rPr>
        <w:t xml:space="preserve"> </w:t>
      </w:r>
      <w:r w:rsidR="00261023">
        <w:rPr>
          <w:rFonts w:ascii="Times New Roman" w:hAnsi="Times New Roman" w:cs="Times New Roman"/>
          <w:sz w:val="28"/>
          <w:szCs w:val="28"/>
        </w:rPr>
        <w:t xml:space="preserve">и </w:t>
      </w:r>
      <w:r w:rsidRPr="00525A8A">
        <w:rPr>
          <w:rFonts w:ascii="Times New Roman" w:hAnsi="Times New Roman" w:cs="Times New Roman"/>
          <w:sz w:val="28"/>
          <w:szCs w:val="28"/>
        </w:rPr>
        <w:t>да</w:t>
      </w:r>
      <w:r w:rsidR="00261023">
        <w:rPr>
          <w:rFonts w:ascii="Times New Roman" w:hAnsi="Times New Roman" w:cs="Times New Roman"/>
          <w:sz w:val="28"/>
          <w:szCs w:val="28"/>
        </w:rPr>
        <w:t>ют</w:t>
      </w:r>
      <w:r w:rsidRPr="00525A8A">
        <w:rPr>
          <w:rFonts w:ascii="Times New Roman" w:hAnsi="Times New Roman" w:cs="Times New Roman"/>
          <w:sz w:val="28"/>
          <w:szCs w:val="28"/>
        </w:rPr>
        <w:t xml:space="preserve"> новый толчок </w:t>
      </w:r>
      <w:r w:rsidR="00E2570B" w:rsidRPr="00525A8A">
        <w:rPr>
          <w:rFonts w:ascii="Times New Roman" w:hAnsi="Times New Roman" w:cs="Times New Roman"/>
          <w:sz w:val="28"/>
          <w:szCs w:val="28"/>
        </w:rPr>
        <w:t>развитию граждан</w:t>
      </w:r>
      <w:r w:rsidRPr="00525A8A">
        <w:rPr>
          <w:rFonts w:ascii="Times New Roman" w:hAnsi="Times New Roman" w:cs="Times New Roman"/>
          <w:sz w:val="28"/>
          <w:szCs w:val="28"/>
        </w:rPr>
        <w:t xml:space="preserve"> культуры страхования, люди начали понимать важность такой услуги, прежде всего это касается страхования жизни и здоровья. Поэтому можно утверждать тот факт, что большинство страховых компаний рынка смогли подстроиться и</w:t>
      </w:r>
      <w:r w:rsidR="00261023">
        <w:rPr>
          <w:rFonts w:ascii="Times New Roman" w:hAnsi="Times New Roman" w:cs="Times New Roman"/>
          <w:sz w:val="28"/>
          <w:szCs w:val="28"/>
        </w:rPr>
        <w:t xml:space="preserve"> н</w:t>
      </w:r>
      <w:r w:rsidRPr="00525A8A">
        <w:rPr>
          <w:rFonts w:ascii="Times New Roman" w:hAnsi="Times New Roman" w:cs="Times New Roman"/>
          <w:sz w:val="28"/>
          <w:szCs w:val="28"/>
        </w:rPr>
        <w:t>айти решение для стабильного функционирования в условиях экономической опасности</w:t>
      </w:r>
      <w:r w:rsidR="00E2570B">
        <w:rPr>
          <w:rFonts w:ascii="Times New Roman" w:hAnsi="Times New Roman" w:cs="Times New Roman"/>
          <w:sz w:val="28"/>
          <w:szCs w:val="28"/>
        </w:rPr>
        <w:t>.</w:t>
      </w: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261023" w:rsidRDefault="00261023" w:rsidP="00525A8A">
      <w:pPr>
        <w:pStyle w:val="a5"/>
        <w:spacing w:line="360" w:lineRule="auto"/>
        <w:ind w:firstLine="709"/>
        <w:jc w:val="both"/>
        <w:rPr>
          <w:rFonts w:ascii="Times New Roman" w:hAnsi="Times New Roman" w:cs="Times New Roman"/>
          <w:sz w:val="28"/>
          <w:szCs w:val="28"/>
        </w:rPr>
      </w:pPr>
    </w:p>
    <w:p w:rsidR="0074177C" w:rsidRDefault="0074177C" w:rsidP="00321137">
      <w:pPr>
        <w:pStyle w:val="a5"/>
        <w:spacing w:line="360" w:lineRule="auto"/>
        <w:ind w:firstLine="709"/>
        <w:jc w:val="center"/>
        <w:outlineLvl w:val="0"/>
        <w:rPr>
          <w:rFonts w:ascii="Times New Roman" w:hAnsi="Times New Roman" w:cs="Times New Roman"/>
          <w:b/>
          <w:sz w:val="28"/>
          <w:szCs w:val="28"/>
        </w:rPr>
      </w:pPr>
      <w:bookmarkStart w:id="8" w:name="_Toc104221806"/>
    </w:p>
    <w:p w:rsidR="0074177C" w:rsidRDefault="0074177C" w:rsidP="00321137">
      <w:pPr>
        <w:pStyle w:val="a5"/>
        <w:spacing w:line="360" w:lineRule="auto"/>
        <w:ind w:firstLine="709"/>
        <w:jc w:val="center"/>
        <w:outlineLvl w:val="0"/>
        <w:rPr>
          <w:rFonts w:ascii="Times New Roman" w:hAnsi="Times New Roman" w:cs="Times New Roman"/>
          <w:b/>
          <w:sz w:val="28"/>
          <w:szCs w:val="28"/>
        </w:rPr>
      </w:pPr>
    </w:p>
    <w:p w:rsidR="0074177C" w:rsidRDefault="0074177C" w:rsidP="00321137">
      <w:pPr>
        <w:pStyle w:val="a5"/>
        <w:spacing w:line="360" w:lineRule="auto"/>
        <w:ind w:firstLine="709"/>
        <w:jc w:val="center"/>
        <w:outlineLvl w:val="0"/>
        <w:rPr>
          <w:rFonts w:ascii="Times New Roman" w:hAnsi="Times New Roman" w:cs="Times New Roman"/>
          <w:b/>
          <w:sz w:val="28"/>
          <w:szCs w:val="28"/>
        </w:rPr>
      </w:pPr>
    </w:p>
    <w:p w:rsidR="00321137" w:rsidRPr="00321137" w:rsidRDefault="00321137" w:rsidP="00321137">
      <w:pPr>
        <w:pStyle w:val="a5"/>
        <w:spacing w:line="360" w:lineRule="auto"/>
        <w:ind w:firstLine="709"/>
        <w:jc w:val="center"/>
        <w:outlineLvl w:val="0"/>
        <w:rPr>
          <w:rFonts w:ascii="Times New Roman" w:hAnsi="Times New Roman" w:cs="Times New Roman"/>
          <w:b/>
          <w:sz w:val="28"/>
          <w:szCs w:val="28"/>
        </w:rPr>
      </w:pPr>
      <w:r w:rsidRPr="00321137">
        <w:rPr>
          <w:rFonts w:ascii="Times New Roman" w:hAnsi="Times New Roman" w:cs="Times New Roman"/>
          <w:b/>
          <w:sz w:val="28"/>
          <w:szCs w:val="28"/>
        </w:rPr>
        <w:lastRenderedPageBreak/>
        <w:t>Заключение</w:t>
      </w:r>
      <w:bookmarkEnd w:id="8"/>
    </w:p>
    <w:p w:rsidR="00321137" w:rsidRPr="00781237" w:rsidRDefault="00E2570B" w:rsidP="00781237">
      <w:pPr>
        <w:pStyle w:val="a5"/>
        <w:spacing w:line="360" w:lineRule="auto"/>
        <w:ind w:firstLine="709"/>
        <w:jc w:val="both"/>
        <w:rPr>
          <w:rFonts w:ascii="Times New Roman" w:hAnsi="Times New Roman" w:cs="Times New Roman"/>
          <w:sz w:val="28"/>
          <w:szCs w:val="28"/>
        </w:rPr>
      </w:pPr>
      <w:r w:rsidRPr="00781237">
        <w:rPr>
          <w:rFonts w:ascii="Times New Roman" w:hAnsi="Times New Roman" w:cs="Times New Roman"/>
          <w:sz w:val="28"/>
          <w:szCs w:val="28"/>
        </w:rPr>
        <w:t>Проведённое изучение темы позволяет сделать ряд обобщений:</w:t>
      </w:r>
    </w:p>
    <w:p w:rsidR="00E2570B" w:rsidRPr="00781237" w:rsidRDefault="00781237" w:rsidP="007812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C02D4" w:rsidRPr="00781237">
        <w:rPr>
          <w:rFonts w:ascii="Times New Roman" w:hAnsi="Times New Roman" w:cs="Times New Roman"/>
          <w:sz w:val="28"/>
          <w:szCs w:val="28"/>
        </w:rPr>
        <w:t xml:space="preserve"> Страхование в России является важной экономической структурой. Большая роль страхового рынка по безопасности и развитию экономики страны на всех ее уровнях. В экономическом смысле страховая деятельность обеспечивает спрос людей в защите, предоставляя предложение страховой сервисы (страхового полиса). Страхование работает посредством условий и видов, которые субъекты должны выбрать и выполнять. Общим значением страхового рынка является удовлетворение потребностей в страховой защите</w:t>
      </w:r>
      <w:r w:rsidR="008773F7" w:rsidRPr="00781237">
        <w:rPr>
          <w:rFonts w:ascii="Times New Roman" w:hAnsi="Times New Roman" w:cs="Times New Roman"/>
          <w:sz w:val="28"/>
          <w:szCs w:val="28"/>
        </w:rPr>
        <w:t xml:space="preserve"> граждан России</w:t>
      </w:r>
    </w:p>
    <w:p w:rsidR="00525A8A" w:rsidRPr="00781237" w:rsidRDefault="00781237" w:rsidP="007812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773F7" w:rsidRPr="00781237">
        <w:rPr>
          <w:rFonts w:ascii="Times New Roman" w:hAnsi="Times New Roman" w:cs="Times New Roman"/>
          <w:sz w:val="28"/>
          <w:szCs w:val="28"/>
        </w:rPr>
        <w:t>Проведённый анализ развития страхования в России в период 2020-2022 года показал рост. Увеличились страховые премии и страховые выплаты. Так, в соотношении 2019/2020 год прирост премий составил 3,88%, то в отношении 2020/2021 году-17,52%., за прогнозами в отношении 2021/</w:t>
      </w:r>
      <w:r w:rsidRPr="00781237">
        <w:rPr>
          <w:rFonts w:ascii="Times New Roman" w:hAnsi="Times New Roman" w:cs="Times New Roman"/>
          <w:sz w:val="28"/>
          <w:szCs w:val="28"/>
        </w:rPr>
        <w:t>2022 прирост</w:t>
      </w:r>
      <w:r w:rsidR="008773F7" w:rsidRPr="00781237">
        <w:rPr>
          <w:rFonts w:ascii="Times New Roman" w:hAnsi="Times New Roman" w:cs="Times New Roman"/>
          <w:sz w:val="28"/>
          <w:szCs w:val="28"/>
        </w:rPr>
        <w:t xml:space="preserve"> будет составлять 5-7%.</w:t>
      </w:r>
      <w:r>
        <w:rPr>
          <w:rFonts w:ascii="Times New Roman" w:hAnsi="Times New Roman" w:cs="Times New Roman"/>
          <w:sz w:val="28"/>
          <w:szCs w:val="28"/>
        </w:rPr>
        <w:t xml:space="preserve"> </w:t>
      </w:r>
      <w:proofErr w:type="gramStart"/>
      <w:r w:rsidR="008773F7" w:rsidRPr="00781237">
        <w:rPr>
          <w:rFonts w:ascii="Times New Roman" w:hAnsi="Times New Roman" w:cs="Times New Roman"/>
          <w:sz w:val="28"/>
          <w:szCs w:val="28"/>
        </w:rPr>
        <w:t>В</w:t>
      </w:r>
      <w:proofErr w:type="gramEnd"/>
      <w:r w:rsidR="008773F7" w:rsidRPr="00781237">
        <w:rPr>
          <w:rFonts w:ascii="Times New Roman" w:hAnsi="Times New Roman" w:cs="Times New Roman"/>
          <w:sz w:val="28"/>
          <w:szCs w:val="28"/>
        </w:rPr>
        <w:t xml:space="preserve"> свою очередь прирост премий за аналогичный период составил:7,24%, 21%, прогноз составляет 5-7%. Если рассматривать по видам страхования, то 2020,</w:t>
      </w:r>
      <w:r w:rsidR="00E440A2" w:rsidRPr="00781237">
        <w:rPr>
          <w:rFonts w:ascii="Times New Roman" w:hAnsi="Times New Roman" w:cs="Times New Roman"/>
          <w:sz w:val="28"/>
          <w:szCs w:val="28"/>
        </w:rPr>
        <w:t xml:space="preserve"> лидерами на рынке было страхование жизни, ОСАГО,</w:t>
      </w:r>
      <w:r w:rsidR="008773F7" w:rsidRPr="00781237">
        <w:rPr>
          <w:rFonts w:ascii="Times New Roman" w:hAnsi="Times New Roman" w:cs="Times New Roman"/>
          <w:sz w:val="28"/>
          <w:szCs w:val="28"/>
        </w:rPr>
        <w:t xml:space="preserve"> 2021 году</w:t>
      </w:r>
      <w:r w:rsidR="00E440A2" w:rsidRPr="00781237">
        <w:rPr>
          <w:rFonts w:ascii="Times New Roman" w:hAnsi="Times New Roman" w:cs="Times New Roman"/>
          <w:sz w:val="28"/>
          <w:szCs w:val="28"/>
        </w:rPr>
        <w:t xml:space="preserve"> в лидеры вышли такие продукты как страхование от несчастных случаев и болезней (прирост 29%); кредитное страхование (прирост 40%); страхование предпринимательских и финансовых рисков (прирост 44%). В прогнозируемом 202 году на рынке страхования происходят значительные изменения в следствии политических и экономических колебаний. </w:t>
      </w:r>
      <w:r w:rsidRPr="00781237">
        <w:rPr>
          <w:rFonts w:ascii="Times New Roman" w:hAnsi="Times New Roman" w:cs="Times New Roman"/>
          <w:sz w:val="28"/>
          <w:szCs w:val="28"/>
        </w:rPr>
        <w:t xml:space="preserve"> </w:t>
      </w:r>
      <w:r w:rsidR="00525A8A" w:rsidRPr="00781237">
        <w:rPr>
          <w:rFonts w:ascii="Times New Roman" w:hAnsi="Times New Roman" w:cs="Times New Roman"/>
          <w:sz w:val="28"/>
          <w:szCs w:val="28"/>
        </w:rPr>
        <w:t xml:space="preserve"> </w:t>
      </w:r>
    </w:p>
    <w:p w:rsidR="00525A8A" w:rsidRPr="00781237" w:rsidRDefault="00781237" w:rsidP="00781237">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25A8A" w:rsidRPr="00781237">
        <w:rPr>
          <w:rFonts w:ascii="Times New Roman" w:hAnsi="Times New Roman" w:cs="Times New Roman"/>
          <w:sz w:val="28"/>
          <w:szCs w:val="28"/>
        </w:rPr>
        <w:t>Результаты оценки уровня концентрации страхового рынка позволяют предположить, что в России постепенно определяется олигополистическая модель страхового рынка, когда деятельность небольшого количества страховых компаний обслуживает подавляющее большинство клиентов. Да, на рынке будут оставаться только игроки, способные обеспечить приемлемый уровень качества активов, капитализации и финансовой стабильности;</w:t>
      </w:r>
    </w:p>
    <w:p w:rsidR="00261023" w:rsidRPr="00321137" w:rsidRDefault="00321137" w:rsidP="00321137">
      <w:pPr>
        <w:pStyle w:val="1"/>
        <w:jc w:val="center"/>
        <w:rPr>
          <w:rFonts w:ascii="Times New Roman" w:hAnsi="Times New Roman" w:cs="Times New Roman"/>
          <w:b/>
          <w:color w:val="000000" w:themeColor="text1"/>
          <w:sz w:val="28"/>
          <w:szCs w:val="28"/>
        </w:rPr>
      </w:pPr>
      <w:bookmarkStart w:id="9" w:name="_Toc104221807"/>
      <w:r w:rsidRPr="00321137">
        <w:rPr>
          <w:rFonts w:ascii="Times New Roman" w:hAnsi="Times New Roman" w:cs="Times New Roman"/>
          <w:b/>
          <w:color w:val="000000" w:themeColor="text1"/>
          <w:sz w:val="28"/>
          <w:szCs w:val="28"/>
        </w:rPr>
        <w:lastRenderedPageBreak/>
        <w:t>Список использованной литературы</w:t>
      </w:r>
      <w:bookmarkEnd w:id="9"/>
    </w:p>
    <w:p w:rsidR="00261023" w:rsidRPr="00261023" w:rsidRDefault="00261023" w:rsidP="00261023">
      <w:pPr>
        <w:jc w:val="center"/>
        <w:rPr>
          <w:rFonts w:ascii="Times New Roman" w:hAnsi="Times New Roman" w:cs="Times New Roman"/>
          <w:b/>
          <w:sz w:val="28"/>
          <w:szCs w:val="28"/>
        </w:rPr>
      </w:pPr>
    </w:p>
    <w:p w:rsidR="00261023" w:rsidRDefault="00F529C7" w:rsidP="00F529C7">
      <w:pPr>
        <w:pStyle w:val="a5"/>
        <w:numPr>
          <w:ilvl w:val="0"/>
          <w:numId w:val="3"/>
        </w:numPr>
        <w:tabs>
          <w:tab w:val="left" w:pos="709"/>
          <w:tab w:val="left" w:pos="993"/>
        </w:tabs>
        <w:spacing w:line="360" w:lineRule="auto"/>
        <w:ind w:left="0" w:firstLine="709"/>
        <w:jc w:val="both"/>
      </w:pPr>
      <w:bookmarkStart w:id="10" w:name="_Toc104221808"/>
      <w:r w:rsidRPr="00F529C7">
        <w:rPr>
          <w:rFonts w:ascii="Times New Roman" w:hAnsi="Times New Roman" w:cs="Times New Roman"/>
          <w:sz w:val="28"/>
          <w:szCs w:val="28"/>
        </w:rPr>
        <w:t>Закон «Об организации страхового дела в Российской Федерации</w:t>
      </w:r>
      <w:bookmarkEnd w:id="10"/>
      <w:r w:rsidRPr="00F529C7">
        <w:rPr>
          <w:rFonts w:ascii="Times New Roman" w:hAnsi="Times New Roman" w:cs="Times New Roman"/>
          <w:sz w:val="28"/>
          <w:szCs w:val="28"/>
        </w:rPr>
        <w:t>»</w:t>
      </w:r>
      <w:r w:rsidR="0074177C">
        <w:rPr>
          <w:rFonts w:ascii="Times New Roman" w:hAnsi="Times New Roman" w:cs="Times New Roman"/>
          <w:sz w:val="28"/>
          <w:szCs w:val="28"/>
        </w:rPr>
        <w:t xml:space="preserve"> </w:t>
      </w:r>
      <w:r w:rsidRPr="00F529C7">
        <w:rPr>
          <w:rFonts w:ascii="Times New Roman" w:hAnsi="Times New Roman" w:cs="Times New Roman"/>
          <w:sz w:val="28"/>
          <w:szCs w:val="28"/>
        </w:rPr>
        <w:t>(с изменениями на 1 апреля 2022 года) [Электронный ресурс</w:t>
      </w:r>
      <w:proofErr w:type="gramStart"/>
      <w:r w:rsidRPr="00F529C7">
        <w:rPr>
          <w:rFonts w:ascii="Times New Roman" w:hAnsi="Times New Roman" w:cs="Times New Roman"/>
          <w:sz w:val="28"/>
          <w:szCs w:val="28"/>
        </w:rPr>
        <w:t>].-</w:t>
      </w:r>
      <w:proofErr w:type="gramEnd"/>
      <w:r w:rsidRPr="00F529C7">
        <w:rPr>
          <w:rFonts w:ascii="Times New Roman" w:hAnsi="Times New Roman" w:cs="Times New Roman"/>
          <w:sz w:val="28"/>
          <w:szCs w:val="28"/>
        </w:rPr>
        <w:t>Режим доступа: http://www.consultant.ru/document/cons_doc_LAW_1307/</w:t>
      </w:r>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r w:rsidRPr="00F529C7">
        <w:rPr>
          <w:rFonts w:ascii="Times New Roman" w:hAnsi="Times New Roman" w:cs="Times New Roman"/>
          <w:sz w:val="28"/>
          <w:szCs w:val="28"/>
        </w:rPr>
        <w:t xml:space="preserve">Гришина О. А. Проблемы функционирования и драйверы роста российского страхового рынка в условиях </w:t>
      </w:r>
      <w:proofErr w:type="spellStart"/>
      <w:r w:rsidRPr="00F529C7">
        <w:rPr>
          <w:rFonts w:ascii="Times New Roman" w:hAnsi="Times New Roman" w:cs="Times New Roman"/>
          <w:sz w:val="28"/>
          <w:szCs w:val="28"/>
        </w:rPr>
        <w:t>коронакризиса</w:t>
      </w:r>
      <w:proofErr w:type="spellEnd"/>
      <w:r w:rsidRPr="00F529C7">
        <w:rPr>
          <w:rFonts w:ascii="Times New Roman" w:hAnsi="Times New Roman" w:cs="Times New Roman"/>
          <w:sz w:val="28"/>
          <w:szCs w:val="28"/>
        </w:rPr>
        <w:t> // Финансы и кредит. – 2021. – № 3(807). – c. 540-560.</w:t>
      </w:r>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r w:rsidRPr="00F529C7">
        <w:rPr>
          <w:rFonts w:ascii="Times New Roman" w:hAnsi="Times New Roman" w:cs="Times New Roman"/>
          <w:sz w:val="28"/>
          <w:szCs w:val="28"/>
        </w:rPr>
        <w:t xml:space="preserve">Кравченко Е.В., </w:t>
      </w:r>
      <w:proofErr w:type="spellStart"/>
      <w:r w:rsidRPr="00F529C7">
        <w:rPr>
          <w:rFonts w:ascii="Times New Roman" w:hAnsi="Times New Roman" w:cs="Times New Roman"/>
          <w:sz w:val="28"/>
          <w:szCs w:val="28"/>
        </w:rPr>
        <w:t>Суховеева</w:t>
      </w:r>
      <w:proofErr w:type="spellEnd"/>
      <w:r w:rsidRPr="00F529C7">
        <w:rPr>
          <w:rFonts w:ascii="Times New Roman" w:hAnsi="Times New Roman" w:cs="Times New Roman"/>
          <w:sz w:val="28"/>
          <w:szCs w:val="28"/>
        </w:rPr>
        <w:t xml:space="preserve"> А.А. Страховой рынок России: современное состояние и направления развития // Экономика, предпринимательство и право. – 2022. – Том 12. – № 2. – С. 807-822.</w:t>
      </w:r>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r w:rsidRPr="00F529C7">
        <w:rPr>
          <w:rFonts w:ascii="Times New Roman" w:hAnsi="Times New Roman" w:cs="Times New Roman"/>
          <w:sz w:val="28"/>
          <w:szCs w:val="28"/>
        </w:rPr>
        <w:t>Красников В. А. Перспективы развития рынка страхования на современном этапе / В. А. Красников. // Молодой ученый. — 2019. — № 22 (260). — С. 319-321.</w:t>
      </w:r>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proofErr w:type="spellStart"/>
      <w:r w:rsidRPr="00F529C7">
        <w:rPr>
          <w:rFonts w:ascii="Times New Roman" w:hAnsi="Times New Roman" w:cs="Times New Roman"/>
          <w:sz w:val="28"/>
          <w:szCs w:val="28"/>
        </w:rPr>
        <w:t>Похунова</w:t>
      </w:r>
      <w:proofErr w:type="spellEnd"/>
      <w:r w:rsidR="0074177C">
        <w:rPr>
          <w:rFonts w:ascii="Times New Roman" w:hAnsi="Times New Roman" w:cs="Times New Roman"/>
          <w:sz w:val="28"/>
          <w:szCs w:val="28"/>
        </w:rPr>
        <w:t xml:space="preserve"> </w:t>
      </w:r>
      <w:r w:rsidRPr="00F529C7">
        <w:rPr>
          <w:rFonts w:ascii="Times New Roman" w:hAnsi="Times New Roman" w:cs="Times New Roman"/>
          <w:sz w:val="28"/>
          <w:szCs w:val="28"/>
        </w:rPr>
        <w:t xml:space="preserve">Д. А. Проблемы правового регулирования страховых правоотношений / Д. А. </w:t>
      </w:r>
      <w:proofErr w:type="spellStart"/>
      <w:r w:rsidRPr="00F529C7">
        <w:rPr>
          <w:rFonts w:ascii="Times New Roman" w:hAnsi="Times New Roman" w:cs="Times New Roman"/>
          <w:sz w:val="28"/>
          <w:szCs w:val="28"/>
        </w:rPr>
        <w:t>Похунова</w:t>
      </w:r>
      <w:proofErr w:type="spellEnd"/>
      <w:r w:rsidRPr="00F529C7">
        <w:rPr>
          <w:rFonts w:ascii="Times New Roman" w:hAnsi="Times New Roman" w:cs="Times New Roman"/>
          <w:sz w:val="28"/>
          <w:szCs w:val="28"/>
        </w:rPr>
        <w:t xml:space="preserve"> // Новый юридический вестник. — 2019. — № 4 (11). — С. 19-22.  </w:t>
      </w:r>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bookmarkStart w:id="11" w:name="_Toc104221809"/>
      <w:r w:rsidRPr="00F529C7">
        <w:rPr>
          <w:rFonts w:ascii="Times New Roman" w:hAnsi="Times New Roman" w:cs="Times New Roman"/>
          <w:sz w:val="28"/>
          <w:szCs w:val="28"/>
        </w:rPr>
        <w:t>Прогноз развития российского рынка страхования на 2021–2024 гг. [Электронный ресурс</w:t>
      </w:r>
      <w:proofErr w:type="gramStart"/>
      <w:r w:rsidRPr="00F529C7">
        <w:rPr>
          <w:rFonts w:ascii="Times New Roman" w:hAnsi="Times New Roman" w:cs="Times New Roman"/>
          <w:sz w:val="28"/>
          <w:szCs w:val="28"/>
        </w:rPr>
        <w:t>].-</w:t>
      </w:r>
      <w:proofErr w:type="gramEnd"/>
      <w:r w:rsidRPr="00F529C7">
        <w:rPr>
          <w:rFonts w:ascii="Times New Roman" w:hAnsi="Times New Roman" w:cs="Times New Roman"/>
          <w:sz w:val="28"/>
          <w:szCs w:val="28"/>
        </w:rPr>
        <w:t xml:space="preserve">Режим доступа: </w:t>
      </w:r>
      <w:hyperlink r:id="rId12" w:history="1">
        <w:r w:rsidRPr="00F529C7">
          <w:rPr>
            <w:rStyle w:val="a8"/>
            <w:rFonts w:ascii="Times New Roman" w:hAnsi="Times New Roman" w:cs="Times New Roman"/>
            <w:sz w:val="28"/>
            <w:szCs w:val="28"/>
          </w:rPr>
          <w:t>https://forinsurer.com/news/21/09/10/40338</w:t>
        </w:r>
      </w:hyperlink>
      <w:bookmarkEnd w:id="11"/>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r w:rsidRPr="00F529C7">
        <w:rPr>
          <w:rFonts w:ascii="Times New Roman" w:hAnsi="Times New Roman" w:cs="Times New Roman"/>
          <w:sz w:val="28"/>
          <w:szCs w:val="28"/>
        </w:rPr>
        <w:t>Прогноз развития страхового рынка России /Эксперт РА [Электронный ресурс</w:t>
      </w:r>
      <w:proofErr w:type="gramStart"/>
      <w:r w:rsidRPr="00F529C7">
        <w:rPr>
          <w:rFonts w:ascii="Times New Roman" w:hAnsi="Times New Roman" w:cs="Times New Roman"/>
          <w:sz w:val="28"/>
          <w:szCs w:val="28"/>
        </w:rPr>
        <w:t>].-</w:t>
      </w:r>
      <w:proofErr w:type="gramEnd"/>
      <w:r w:rsidRPr="00F529C7">
        <w:rPr>
          <w:rFonts w:ascii="Times New Roman" w:hAnsi="Times New Roman" w:cs="Times New Roman"/>
          <w:sz w:val="28"/>
          <w:szCs w:val="28"/>
        </w:rPr>
        <w:t>Режим доступа: https://www.insur-info.ru/pressr/79140/</w:t>
      </w:r>
    </w:p>
    <w:p w:rsidR="00F529C7" w:rsidRPr="00F529C7" w:rsidRDefault="00F529C7" w:rsidP="00F529C7">
      <w:pPr>
        <w:pStyle w:val="a5"/>
        <w:numPr>
          <w:ilvl w:val="0"/>
          <w:numId w:val="3"/>
        </w:numPr>
        <w:tabs>
          <w:tab w:val="left" w:pos="993"/>
        </w:tabs>
        <w:spacing w:line="360" w:lineRule="auto"/>
        <w:ind w:left="0" w:firstLine="709"/>
        <w:jc w:val="both"/>
        <w:rPr>
          <w:rFonts w:ascii="Times New Roman" w:hAnsi="Times New Roman" w:cs="Times New Roman"/>
          <w:sz w:val="28"/>
          <w:szCs w:val="28"/>
        </w:rPr>
      </w:pPr>
      <w:r w:rsidRPr="00F529C7">
        <w:rPr>
          <w:rFonts w:ascii="Times New Roman" w:hAnsi="Times New Roman" w:cs="Times New Roman"/>
          <w:sz w:val="28"/>
          <w:szCs w:val="28"/>
        </w:rPr>
        <w:t xml:space="preserve">Рейтинг крупнейших российских страховых компаний по собранным премиям (кроме ОМС) на 1 января 2022 года/ </w:t>
      </w:r>
      <w:proofErr w:type="spellStart"/>
      <w:r w:rsidRPr="00F529C7">
        <w:rPr>
          <w:rFonts w:ascii="Times New Roman" w:hAnsi="Times New Roman" w:cs="Times New Roman"/>
          <w:sz w:val="28"/>
          <w:szCs w:val="28"/>
        </w:rPr>
        <w:t>РиаРейтинг.Россия</w:t>
      </w:r>
      <w:proofErr w:type="spellEnd"/>
      <w:r w:rsidRPr="00F529C7">
        <w:rPr>
          <w:rFonts w:ascii="Times New Roman" w:hAnsi="Times New Roman" w:cs="Times New Roman"/>
          <w:sz w:val="28"/>
          <w:szCs w:val="28"/>
        </w:rPr>
        <w:t xml:space="preserve"> сегодня [Электронный ресурс].-Режим доступа: </w:t>
      </w:r>
      <w:hyperlink r:id="rId13" w:history="1">
        <w:r w:rsidRPr="00F529C7">
          <w:rPr>
            <w:rStyle w:val="a8"/>
            <w:rFonts w:ascii="Times New Roman" w:hAnsi="Times New Roman" w:cs="Times New Roman"/>
            <w:sz w:val="28"/>
            <w:szCs w:val="28"/>
          </w:rPr>
          <w:t>http://vid1.rian.ru/ig/ratings/Insurance-012022.pdf</w:t>
        </w:r>
      </w:hyperlink>
    </w:p>
    <w:p w:rsidR="00F529C7" w:rsidRPr="00F529C7" w:rsidRDefault="00F529C7" w:rsidP="001D4B04">
      <w:pPr>
        <w:pStyle w:val="a5"/>
        <w:numPr>
          <w:ilvl w:val="0"/>
          <w:numId w:val="3"/>
        </w:numPr>
        <w:tabs>
          <w:tab w:val="left" w:pos="993"/>
        </w:tabs>
        <w:ind w:left="0" w:firstLine="709"/>
        <w:jc w:val="both"/>
        <w:rPr>
          <w:rFonts w:ascii="Times New Roman" w:hAnsi="Times New Roman" w:cs="Times New Roman"/>
          <w:sz w:val="28"/>
          <w:szCs w:val="28"/>
        </w:rPr>
      </w:pPr>
      <w:r w:rsidRPr="00F529C7">
        <w:rPr>
          <w:rFonts w:ascii="Times New Roman" w:hAnsi="Times New Roman" w:cs="Times New Roman"/>
          <w:sz w:val="28"/>
          <w:szCs w:val="28"/>
        </w:rPr>
        <w:t>Центральный Банк России [Электронный ресурс</w:t>
      </w:r>
      <w:proofErr w:type="gramStart"/>
      <w:r w:rsidRPr="00F529C7">
        <w:rPr>
          <w:rFonts w:ascii="Times New Roman" w:hAnsi="Times New Roman" w:cs="Times New Roman"/>
          <w:sz w:val="28"/>
          <w:szCs w:val="28"/>
        </w:rPr>
        <w:t>].-</w:t>
      </w:r>
      <w:proofErr w:type="gramEnd"/>
      <w:r w:rsidRPr="00F529C7">
        <w:rPr>
          <w:rFonts w:ascii="Times New Roman" w:hAnsi="Times New Roman" w:cs="Times New Roman"/>
          <w:sz w:val="28"/>
          <w:szCs w:val="28"/>
        </w:rPr>
        <w:t>Режим доступа: https://cbr.ru</w:t>
      </w:r>
    </w:p>
    <w:sectPr w:rsidR="00F529C7" w:rsidRPr="00F529C7" w:rsidSect="00F529C7">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F12" w:rsidRDefault="00E17F12" w:rsidP="00321137">
      <w:pPr>
        <w:spacing w:after="0" w:line="240" w:lineRule="auto"/>
      </w:pPr>
      <w:r>
        <w:separator/>
      </w:r>
    </w:p>
  </w:endnote>
  <w:endnote w:type="continuationSeparator" w:id="0">
    <w:p w:rsidR="00E17F12" w:rsidRDefault="00E17F12" w:rsidP="0032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151173"/>
      <w:docPartObj>
        <w:docPartGallery w:val="Page Numbers (Bottom of Page)"/>
        <w:docPartUnique/>
      </w:docPartObj>
    </w:sdtPr>
    <w:sdtContent>
      <w:p w:rsidR="00321137" w:rsidRDefault="00321137">
        <w:pPr>
          <w:pStyle w:val="ab"/>
          <w:jc w:val="center"/>
        </w:pPr>
        <w:r>
          <w:fldChar w:fldCharType="begin"/>
        </w:r>
        <w:r>
          <w:instrText>PAGE   \* MERGEFORMAT</w:instrText>
        </w:r>
        <w:r>
          <w:fldChar w:fldCharType="separate"/>
        </w:r>
        <w:r>
          <w:t>2</w:t>
        </w:r>
        <w:r>
          <w:fldChar w:fldCharType="end"/>
        </w:r>
      </w:p>
    </w:sdtContent>
  </w:sdt>
  <w:p w:rsidR="00321137" w:rsidRDefault="0032113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F12" w:rsidRDefault="00E17F12" w:rsidP="00321137">
      <w:pPr>
        <w:spacing w:after="0" w:line="240" w:lineRule="auto"/>
      </w:pPr>
      <w:r>
        <w:separator/>
      </w:r>
    </w:p>
  </w:footnote>
  <w:footnote w:type="continuationSeparator" w:id="0">
    <w:p w:rsidR="00E17F12" w:rsidRDefault="00E17F12" w:rsidP="00321137">
      <w:pPr>
        <w:spacing w:after="0" w:line="240" w:lineRule="auto"/>
      </w:pPr>
      <w:r>
        <w:continuationSeparator/>
      </w:r>
    </w:p>
  </w:footnote>
  <w:footnote w:id="1">
    <w:p w:rsidR="00F52240" w:rsidRDefault="00F52240" w:rsidP="00F52240">
      <w:pPr>
        <w:pStyle w:val="a5"/>
        <w:tabs>
          <w:tab w:val="left" w:pos="993"/>
        </w:tabs>
        <w:ind w:firstLine="709"/>
        <w:jc w:val="both"/>
      </w:pPr>
      <w:r>
        <w:rPr>
          <w:rStyle w:val="af0"/>
        </w:rPr>
        <w:footnoteRef/>
      </w:r>
      <w:r>
        <w:t xml:space="preserve"> </w:t>
      </w:r>
      <w:r w:rsidRPr="009869D1">
        <w:rPr>
          <w:rFonts w:ascii="Times New Roman" w:hAnsi="Times New Roman" w:cs="Times New Roman"/>
        </w:rPr>
        <w:t>Красников, В. А. Перспективы развития рынка страхования на современном этапе / В. А. Красников. // Молодой ученый. — 2019. — № 22 (260). — С. 319-321.</w:t>
      </w:r>
    </w:p>
  </w:footnote>
  <w:footnote w:id="2">
    <w:p w:rsidR="00F52240" w:rsidRDefault="00F52240" w:rsidP="00F52240">
      <w:pPr>
        <w:pStyle w:val="a5"/>
        <w:tabs>
          <w:tab w:val="left" w:pos="993"/>
        </w:tabs>
        <w:ind w:firstLine="709"/>
        <w:jc w:val="both"/>
      </w:pPr>
      <w:r>
        <w:rPr>
          <w:rStyle w:val="af0"/>
        </w:rPr>
        <w:footnoteRef/>
      </w:r>
      <w:r>
        <w:t xml:space="preserve"> </w:t>
      </w:r>
      <w:r w:rsidRPr="009869D1">
        <w:rPr>
          <w:rFonts w:ascii="Times New Roman" w:hAnsi="Times New Roman" w:cs="Times New Roman"/>
        </w:rPr>
        <w:t xml:space="preserve">Гришина О. А. Проблемы функционирования и драйверы роста российского страхового рынка в условиях </w:t>
      </w:r>
      <w:proofErr w:type="spellStart"/>
      <w:r w:rsidRPr="009869D1">
        <w:rPr>
          <w:rFonts w:ascii="Times New Roman" w:hAnsi="Times New Roman" w:cs="Times New Roman"/>
        </w:rPr>
        <w:t>коронакризиса</w:t>
      </w:r>
      <w:proofErr w:type="spellEnd"/>
      <w:r w:rsidRPr="009869D1">
        <w:rPr>
          <w:rFonts w:ascii="Times New Roman" w:hAnsi="Times New Roman" w:cs="Times New Roman"/>
        </w:rPr>
        <w:t> // Финансы и кредит. – 2021. – № 3(807). – c. 540-560.</w:t>
      </w:r>
    </w:p>
  </w:footnote>
  <w:footnote w:id="3">
    <w:p w:rsidR="00F52240" w:rsidRDefault="00F52240" w:rsidP="00F52240">
      <w:pPr>
        <w:pStyle w:val="ae"/>
        <w:ind w:firstLine="709"/>
      </w:pPr>
      <w:r>
        <w:rPr>
          <w:rStyle w:val="af0"/>
        </w:rPr>
        <w:footnoteRef/>
      </w:r>
      <w:r>
        <w:t xml:space="preserve"> </w:t>
      </w:r>
      <w:proofErr w:type="spellStart"/>
      <w:r w:rsidRPr="009869D1">
        <w:rPr>
          <w:rFonts w:ascii="Times New Roman" w:hAnsi="Times New Roman" w:cs="Times New Roman"/>
          <w:sz w:val="22"/>
          <w:szCs w:val="22"/>
        </w:rPr>
        <w:t>Похунова</w:t>
      </w:r>
      <w:proofErr w:type="spellEnd"/>
      <w:r w:rsidRPr="009869D1">
        <w:rPr>
          <w:rFonts w:ascii="Times New Roman" w:hAnsi="Times New Roman" w:cs="Times New Roman"/>
          <w:sz w:val="22"/>
          <w:szCs w:val="22"/>
        </w:rPr>
        <w:t xml:space="preserve">, Д. А. Проблемы правового регулирования страховых правоотношений / Д. А. </w:t>
      </w:r>
      <w:proofErr w:type="spellStart"/>
      <w:r w:rsidRPr="009869D1">
        <w:rPr>
          <w:rFonts w:ascii="Times New Roman" w:hAnsi="Times New Roman" w:cs="Times New Roman"/>
          <w:sz w:val="22"/>
          <w:szCs w:val="22"/>
        </w:rPr>
        <w:t>Похунова</w:t>
      </w:r>
      <w:proofErr w:type="spellEnd"/>
      <w:r w:rsidRPr="009869D1">
        <w:rPr>
          <w:rFonts w:ascii="Times New Roman" w:hAnsi="Times New Roman" w:cs="Times New Roman"/>
          <w:sz w:val="22"/>
          <w:szCs w:val="22"/>
        </w:rPr>
        <w:t xml:space="preserve"> // Новый юридический вестник. — 2019. — № 4 (11). — С. 19-22</w:t>
      </w:r>
    </w:p>
  </w:footnote>
  <w:footnote w:id="4">
    <w:p w:rsidR="0074177C" w:rsidRPr="009869D1" w:rsidRDefault="0074177C" w:rsidP="0074177C">
      <w:pPr>
        <w:pStyle w:val="a5"/>
        <w:tabs>
          <w:tab w:val="left" w:pos="993"/>
        </w:tabs>
        <w:ind w:firstLine="709"/>
        <w:jc w:val="both"/>
      </w:pPr>
      <w:r>
        <w:rPr>
          <w:rStyle w:val="af0"/>
        </w:rPr>
        <w:footnoteRef/>
      </w:r>
      <w:r>
        <w:t xml:space="preserve"> </w:t>
      </w:r>
      <w:r w:rsidRPr="009869D1">
        <w:rPr>
          <w:rFonts w:ascii="Times New Roman" w:hAnsi="Times New Roman" w:cs="Times New Roman"/>
        </w:rPr>
        <w:t xml:space="preserve">Закон «Об организации страхового дела в Российской </w:t>
      </w:r>
      <w:proofErr w:type="gramStart"/>
      <w:r w:rsidRPr="009869D1">
        <w:rPr>
          <w:rFonts w:ascii="Times New Roman" w:hAnsi="Times New Roman" w:cs="Times New Roman"/>
        </w:rPr>
        <w:t>Федерации»(</w:t>
      </w:r>
      <w:proofErr w:type="gramEnd"/>
      <w:r w:rsidRPr="009869D1">
        <w:rPr>
          <w:rFonts w:ascii="Times New Roman" w:hAnsi="Times New Roman" w:cs="Times New Roman"/>
        </w:rPr>
        <w:t>с изменениями на 1 апреля 2022 года) [Электронный ресурс].-Режим доступа: http://www.consultant.ru/document/cons_doc_LAW_1307/</w:t>
      </w:r>
    </w:p>
    <w:p w:rsidR="0074177C" w:rsidRDefault="0074177C">
      <w:pPr>
        <w:pStyle w:val="ae"/>
      </w:pPr>
    </w:p>
  </w:footnote>
  <w:footnote w:id="5">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Прогноз развития российского рынка страхования на 2021–2024 гг. [Электронный ресурс</w:t>
      </w:r>
      <w:proofErr w:type="gramStart"/>
      <w:r w:rsidRPr="009869D1">
        <w:rPr>
          <w:rFonts w:ascii="Times New Roman" w:hAnsi="Times New Roman" w:cs="Times New Roman"/>
        </w:rPr>
        <w:t>].-</w:t>
      </w:r>
      <w:proofErr w:type="gramEnd"/>
      <w:r w:rsidRPr="009869D1">
        <w:rPr>
          <w:rFonts w:ascii="Times New Roman" w:hAnsi="Times New Roman" w:cs="Times New Roman"/>
        </w:rPr>
        <w:t xml:space="preserve">Режим доступа: </w:t>
      </w:r>
      <w:hyperlink r:id="rId1" w:history="1">
        <w:r w:rsidRPr="009869D1">
          <w:rPr>
            <w:rStyle w:val="a8"/>
            <w:rFonts w:ascii="Times New Roman" w:hAnsi="Times New Roman" w:cs="Times New Roman"/>
          </w:rPr>
          <w:t>https://forinsurer.com/news/21/09/10/40338</w:t>
        </w:r>
      </w:hyperlink>
    </w:p>
    <w:p w:rsidR="0074177C" w:rsidRDefault="0074177C">
      <w:pPr>
        <w:pStyle w:val="ae"/>
      </w:pPr>
    </w:p>
  </w:footnote>
  <w:footnote w:id="6">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Прогноз развития страхового рынка России /Эксперт РА [Электронный ресурс</w:t>
      </w:r>
      <w:proofErr w:type="gramStart"/>
      <w:r w:rsidRPr="009869D1">
        <w:rPr>
          <w:rFonts w:ascii="Times New Roman" w:hAnsi="Times New Roman" w:cs="Times New Roman"/>
        </w:rPr>
        <w:t>].-</w:t>
      </w:r>
      <w:proofErr w:type="gramEnd"/>
      <w:r w:rsidRPr="009869D1">
        <w:rPr>
          <w:rFonts w:ascii="Times New Roman" w:hAnsi="Times New Roman" w:cs="Times New Roman"/>
        </w:rPr>
        <w:t>Режим доступа: https://www.insur-info.ru/pressr/79140/</w:t>
      </w:r>
    </w:p>
    <w:p w:rsidR="0074177C" w:rsidRDefault="0074177C">
      <w:pPr>
        <w:pStyle w:val="ae"/>
      </w:pPr>
    </w:p>
  </w:footnote>
  <w:footnote w:id="7">
    <w:p w:rsidR="0074177C" w:rsidRDefault="0074177C" w:rsidP="0074177C">
      <w:pPr>
        <w:pStyle w:val="a5"/>
        <w:tabs>
          <w:tab w:val="left" w:pos="993"/>
        </w:tabs>
        <w:ind w:firstLine="709"/>
        <w:jc w:val="both"/>
      </w:pPr>
      <w:r>
        <w:rPr>
          <w:rStyle w:val="af0"/>
        </w:rPr>
        <w:footnoteRef/>
      </w:r>
      <w:r>
        <w:t xml:space="preserve"> </w:t>
      </w:r>
      <w:r w:rsidRPr="009869D1">
        <w:rPr>
          <w:rFonts w:ascii="Times New Roman" w:hAnsi="Times New Roman" w:cs="Times New Roman"/>
        </w:rPr>
        <w:t>Прогноз развития страхового рынка России /Эксперт РА [Электронный ресурс</w:t>
      </w:r>
      <w:proofErr w:type="gramStart"/>
      <w:r w:rsidRPr="009869D1">
        <w:rPr>
          <w:rFonts w:ascii="Times New Roman" w:hAnsi="Times New Roman" w:cs="Times New Roman"/>
        </w:rPr>
        <w:t>].-</w:t>
      </w:r>
      <w:proofErr w:type="gramEnd"/>
      <w:r w:rsidRPr="009869D1">
        <w:rPr>
          <w:rFonts w:ascii="Times New Roman" w:hAnsi="Times New Roman" w:cs="Times New Roman"/>
        </w:rPr>
        <w:t>Режим доступа: https://www.insur-info.ru/pressr/79140/</w:t>
      </w:r>
    </w:p>
  </w:footnote>
  <w:footnote w:id="8">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 xml:space="preserve">Рейтинг крупнейших российских страховых компаний по собранным премиям (кроме ОМС) на 1 января 2022 года/ </w:t>
      </w:r>
      <w:proofErr w:type="spellStart"/>
      <w:r w:rsidRPr="009869D1">
        <w:rPr>
          <w:rFonts w:ascii="Times New Roman" w:hAnsi="Times New Roman" w:cs="Times New Roman"/>
        </w:rPr>
        <w:t>РиаРейтинг.Россия</w:t>
      </w:r>
      <w:proofErr w:type="spellEnd"/>
      <w:r w:rsidRPr="009869D1">
        <w:rPr>
          <w:rFonts w:ascii="Times New Roman" w:hAnsi="Times New Roman" w:cs="Times New Roman"/>
        </w:rPr>
        <w:t xml:space="preserve"> сегодня [Электронный ресурс].-Режим доступа: </w:t>
      </w:r>
      <w:hyperlink r:id="rId2" w:history="1">
        <w:r w:rsidRPr="009869D1">
          <w:rPr>
            <w:rStyle w:val="a8"/>
            <w:rFonts w:ascii="Times New Roman" w:hAnsi="Times New Roman" w:cs="Times New Roman"/>
          </w:rPr>
          <w:t>http://vid1.rian.ru/ig/ratings/Insurance-012022.pdf</w:t>
        </w:r>
      </w:hyperlink>
    </w:p>
    <w:p w:rsidR="0074177C" w:rsidRDefault="0074177C">
      <w:pPr>
        <w:pStyle w:val="ae"/>
      </w:pPr>
    </w:p>
  </w:footnote>
  <w:footnote w:id="9">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Центральный Банк России [Электронный ресурс</w:t>
      </w:r>
      <w:proofErr w:type="gramStart"/>
      <w:r w:rsidRPr="009869D1">
        <w:rPr>
          <w:rFonts w:ascii="Times New Roman" w:hAnsi="Times New Roman" w:cs="Times New Roman"/>
        </w:rPr>
        <w:t>].-</w:t>
      </w:r>
      <w:proofErr w:type="gramEnd"/>
      <w:r w:rsidRPr="009869D1">
        <w:rPr>
          <w:rFonts w:ascii="Times New Roman" w:hAnsi="Times New Roman" w:cs="Times New Roman"/>
        </w:rPr>
        <w:t>Режим доступа: https://cbr.ru</w:t>
      </w:r>
    </w:p>
    <w:p w:rsidR="0074177C" w:rsidRDefault="0074177C">
      <w:pPr>
        <w:pStyle w:val="ae"/>
      </w:pPr>
    </w:p>
  </w:footnote>
  <w:footnote w:id="10">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bookmarkStart w:id="4" w:name="_Hlk104231181"/>
      <w:r w:rsidRPr="009869D1">
        <w:rPr>
          <w:rFonts w:ascii="Times New Roman" w:hAnsi="Times New Roman" w:cs="Times New Roman"/>
        </w:rPr>
        <w:t xml:space="preserve">Рейтинг крупнейших российских страховых компаний по собранным премиям (кроме ОМС) на 1 января 2022 года/ </w:t>
      </w:r>
      <w:proofErr w:type="spellStart"/>
      <w:r w:rsidRPr="009869D1">
        <w:rPr>
          <w:rFonts w:ascii="Times New Roman" w:hAnsi="Times New Roman" w:cs="Times New Roman"/>
        </w:rPr>
        <w:t>РиаРейтинг.Россия</w:t>
      </w:r>
      <w:proofErr w:type="spellEnd"/>
      <w:r w:rsidRPr="009869D1">
        <w:rPr>
          <w:rFonts w:ascii="Times New Roman" w:hAnsi="Times New Roman" w:cs="Times New Roman"/>
        </w:rPr>
        <w:t xml:space="preserve"> сегодня [Электронный ресурс].-Режим доступа: </w:t>
      </w:r>
      <w:hyperlink r:id="rId3" w:history="1">
        <w:r w:rsidRPr="009869D1">
          <w:rPr>
            <w:rStyle w:val="a8"/>
            <w:rFonts w:ascii="Times New Roman" w:hAnsi="Times New Roman" w:cs="Times New Roman"/>
          </w:rPr>
          <w:t>http://vid1.rian.ru/ig/ratings/Insurance-012022.pdf</w:t>
        </w:r>
      </w:hyperlink>
    </w:p>
    <w:bookmarkEnd w:id="4"/>
    <w:p w:rsidR="0074177C" w:rsidRDefault="0074177C">
      <w:pPr>
        <w:pStyle w:val="ae"/>
      </w:pPr>
    </w:p>
  </w:footnote>
  <w:footnote w:id="11">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 xml:space="preserve">Рейтинг крупнейших российских страховых компаний по собранным премиям (кроме ОМС) на 1 января 2022 года/ </w:t>
      </w:r>
      <w:proofErr w:type="spellStart"/>
      <w:r w:rsidRPr="009869D1">
        <w:rPr>
          <w:rFonts w:ascii="Times New Roman" w:hAnsi="Times New Roman" w:cs="Times New Roman"/>
        </w:rPr>
        <w:t>РиаРейтинг.Россия</w:t>
      </w:r>
      <w:proofErr w:type="spellEnd"/>
      <w:r w:rsidRPr="009869D1">
        <w:rPr>
          <w:rFonts w:ascii="Times New Roman" w:hAnsi="Times New Roman" w:cs="Times New Roman"/>
        </w:rPr>
        <w:t xml:space="preserve"> сегодня [Электронный ресурс].-Режим доступа: </w:t>
      </w:r>
      <w:hyperlink r:id="rId4" w:history="1">
        <w:r w:rsidRPr="009869D1">
          <w:rPr>
            <w:rStyle w:val="a8"/>
            <w:rFonts w:ascii="Times New Roman" w:hAnsi="Times New Roman" w:cs="Times New Roman"/>
          </w:rPr>
          <w:t>http://vid1.rian.ru/ig/ratings/Insurance-012022.pdf</w:t>
        </w:r>
      </w:hyperlink>
    </w:p>
    <w:p w:rsidR="0074177C" w:rsidRDefault="0074177C">
      <w:pPr>
        <w:pStyle w:val="ae"/>
      </w:pPr>
    </w:p>
  </w:footnote>
  <w:footnote w:id="12">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 xml:space="preserve">Рейтинг крупнейших российских страховых компаний по собранным премиям (кроме ОМС) на 1 января 2022 года/ </w:t>
      </w:r>
      <w:proofErr w:type="spellStart"/>
      <w:r w:rsidRPr="009869D1">
        <w:rPr>
          <w:rFonts w:ascii="Times New Roman" w:hAnsi="Times New Roman" w:cs="Times New Roman"/>
        </w:rPr>
        <w:t>РиаРейтинг.Россия</w:t>
      </w:r>
      <w:proofErr w:type="spellEnd"/>
      <w:r w:rsidRPr="009869D1">
        <w:rPr>
          <w:rFonts w:ascii="Times New Roman" w:hAnsi="Times New Roman" w:cs="Times New Roman"/>
        </w:rPr>
        <w:t xml:space="preserve"> сегодня [Электронный ресурс].-Режим доступа: </w:t>
      </w:r>
      <w:hyperlink r:id="rId5" w:history="1">
        <w:r w:rsidRPr="009869D1">
          <w:rPr>
            <w:rStyle w:val="a8"/>
            <w:rFonts w:ascii="Times New Roman" w:hAnsi="Times New Roman" w:cs="Times New Roman"/>
          </w:rPr>
          <w:t>http://vid1.rian.ru/ig/ratings/Insurance-012022.pdf</w:t>
        </w:r>
      </w:hyperlink>
    </w:p>
    <w:p w:rsidR="0074177C" w:rsidRDefault="0074177C">
      <w:pPr>
        <w:pStyle w:val="ae"/>
      </w:pPr>
    </w:p>
  </w:footnote>
  <w:footnote w:id="13">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bookmarkStart w:id="5" w:name="_Hlk104231123"/>
      <w:r w:rsidRPr="009869D1">
        <w:rPr>
          <w:rFonts w:ascii="Times New Roman" w:hAnsi="Times New Roman" w:cs="Times New Roman"/>
        </w:rPr>
        <w:t>Прогноз развития страхового рынка России /Эксперт РА [Электронный ресурс</w:t>
      </w:r>
      <w:proofErr w:type="gramStart"/>
      <w:r w:rsidRPr="009869D1">
        <w:rPr>
          <w:rFonts w:ascii="Times New Roman" w:hAnsi="Times New Roman" w:cs="Times New Roman"/>
        </w:rPr>
        <w:t>].-</w:t>
      </w:r>
      <w:proofErr w:type="gramEnd"/>
      <w:r w:rsidRPr="009869D1">
        <w:rPr>
          <w:rFonts w:ascii="Times New Roman" w:hAnsi="Times New Roman" w:cs="Times New Roman"/>
        </w:rPr>
        <w:t>Режим доступа: https://www.insur-info.ru/pressr/79140/</w:t>
      </w:r>
    </w:p>
    <w:bookmarkEnd w:id="5"/>
    <w:p w:rsidR="0074177C" w:rsidRDefault="0074177C">
      <w:pPr>
        <w:pStyle w:val="ae"/>
      </w:pPr>
    </w:p>
  </w:footnote>
  <w:footnote w:id="14">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bookmarkStart w:id="7" w:name="_Hlk104230787"/>
      <w:r w:rsidRPr="009869D1">
        <w:rPr>
          <w:rFonts w:ascii="Times New Roman" w:hAnsi="Times New Roman" w:cs="Times New Roman"/>
        </w:rPr>
        <w:t>Красников, В. А. Перспективы развития рынка страхования на современном этапе / В. А. Красников. // Молодой ученый. — 2019. — № 22 (260). — С. 319-321.</w:t>
      </w:r>
    </w:p>
    <w:bookmarkEnd w:id="7"/>
    <w:p w:rsidR="0074177C" w:rsidRDefault="0074177C">
      <w:pPr>
        <w:pStyle w:val="ae"/>
      </w:pPr>
    </w:p>
  </w:footnote>
  <w:footnote w:id="15">
    <w:p w:rsidR="0074177C" w:rsidRPr="009869D1" w:rsidRDefault="0074177C" w:rsidP="0074177C">
      <w:pPr>
        <w:pStyle w:val="a5"/>
        <w:tabs>
          <w:tab w:val="left" w:pos="993"/>
        </w:tabs>
        <w:ind w:firstLine="709"/>
        <w:jc w:val="both"/>
        <w:rPr>
          <w:rFonts w:ascii="Times New Roman" w:hAnsi="Times New Roman" w:cs="Times New Roman"/>
        </w:rPr>
      </w:pPr>
      <w:r>
        <w:rPr>
          <w:rStyle w:val="af0"/>
        </w:rPr>
        <w:footnoteRef/>
      </w:r>
      <w:r>
        <w:t xml:space="preserve"> </w:t>
      </w:r>
      <w:r w:rsidRPr="009869D1">
        <w:rPr>
          <w:rFonts w:ascii="Times New Roman" w:hAnsi="Times New Roman" w:cs="Times New Roman"/>
        </w:rPr>
        <w:t>Красников, В. А. Перспективы развития рынка страхования на современном этапе / В. А. Красников. // Молодой ученый. — 2019. — № 22 (260). — С. 319-321.</w:t>
      </w:r>
    </w:p>
    <w:p w:rsidR="0074177C" w:rsidRDefault="0074177C">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76F8F"/>
    <w:multiLevelType w:val="multilevel"/>
    <w:tmpl w:val="15AC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1C36"/>
    <w:multiLevelType w:val="hybridMultilevel"/>
    <w:tmpl w:val="37147F90"/>
    <w:lvl w:ilvl="0" w:tplc="919C8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0A3088"/>
    <w:multiLevelType w:val="hybridMultilevel"/>
    <w:tmpl w:val="80D278DA"/>
    <w:lvl w:ilvl="0" w:tplc="0CBABEB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A4"/>
    <w:rsid w:val="001B1865"/>
    <w:rsid w:val="001E21EA"/>
    <w:rsid w:val="00261023"/>
    <w:rsid w:val="00321137"/>
    <w:rsid w:val="0037101C"/>
    <w:rsid w:val="003A60DB"/>
    <w:rsid w:val="003F53A4"/>
    <w:rsid w:val="00400BE4"/>
    <w:rsid w:val="0044027A"/>
    <w:rsid w:val="00454B3D"/>
    <w:rsid w:val="004A26ED"/>
    <w:rsid w:val="004E16C3"/>
    <w:rsid w:val="00525A8A"/>
    <w:rsid w:val="00574E72"/>
    <w:rsid w:val="00646E0A"/>
    <w:rsid w:val="006C02D4"/>
    <w:rsid w:val="0074177C"/>
    <w:rsid w:val="00781237"/>
    <w:rsid w:val="00870E5D"/>
    <w:rsid w:val="008773F7"/>
    <w:rsid w:val="00982CE7"/>
    <w:rsid w:val="00992D5E"/>
    <w:rsid w:val="00B3741E"/>
    <w:rsid w:val="00B40FCA"/>
    <w:rsid w:val="00BE07E1"/>
    <w:rsid w:val="00C5037E"/>
    <w:rsid w:val="00CA112C"/>
    <w:rsid w:val="00E17F12"/>
    <w:rsid w:val="00E2570B"/>
    <w:rsid w:val="00E440A2"/>
    <w:rsid w:val="00EC3A74"/>
    <w:rsid w:val="00F2194C"/>
    <w:rsid w:val="00F52240"/>
    <w:rsid w:val="00F52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1B89"/>
  <w15:chartTrackingRefBased/>
  <w15:docId w15:val="{A8CFB0CE-C638-4F47-ACEA-A59483B0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E21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F53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53A4"/>
    <w:rPr>
      <w:rFonts w:ascii="Times New Roman" w:eastAsia="Times New Roman" w:hAnsi="Times New Roman" w:cs="Times New Roman"/>
      <w:b/>
      <w:bCs/>
      <w:sz w:val="36"/>
      <w:szCs w:val="36"/>
      <w:lang w:eastAsia="ru-RU"/>
    </w:rPr>
  </w:style>
  <w:style w:type="paragraph" w:customStyle="1" w:styleId="formattext">
    <w:name w:val="formattext"/>
    <w:basedOn w:val="a"/>
    <w:rsid w:val="003F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gb">
    <w:name w:val="article-gb"/>
    <w:basedOn w:val="a"/>
    <w:rsid w:val="00982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82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2CE7"/>
    <w:rPr>
      <w:b/>
      <w:bCs/>
    </w:rPr>
  </w:style>
  <w:style w:type="paragraph" w:styleId="a5">
    <w:name w:val="No Spacing"/>
    <w:uiPriority w:val="1"/>
    <w:qFormat/>
    <w:rsid w:val="00574E72"/>
    <w:pPr>
      <w:spacing w:after="0" w:line="240" w:lineRule="auto"/>
    </w:pPr>
  </w:style>
  <w:style w:type="paragraph" w:styleId="a6">
    <w:name w:val="List Paragraph"/>
    <w:basedOn w:val="a"/>
    <w:uiPriority w:val="34"/>
    <w:qFormat/>
    <w:rsid w:val="00454B3D"/>
    <w:pPr>
      <w:ind w:left="720"/>
      <w:contextualSpacing/>
    </w:pPr>
  </w:style>
  <w:style w:type="character" w:customStyle="1" w:styleId="q4iawc">
    <w:name w:val="q4iawc"/>
    <w:basedOn w:val="a0"/>
    <w:rsid w:val="0044027A"/>
  </w:style>
  <w:style w:type="character" w:customStyle="1" w:styleId="normal">
    <w:name w:val="normal"/>
    <w:basedOn w:val="a0"/>
    <w:rsid w:val="00525A8A"/>
  </w:style>
  <w:style w:type="character" w:customStyle="1" w:styleId="10">
    <w:name w:val="Заголовок 1 Знак"/>
    <w:basedOn w:val="a0"/>
    <w:link w:val="1"/>
    <w:uiPriority w:val="9"/>
    <w:rsid w:val="001E21EA"/>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CA112C"/>
    <w:pPr>
      <w:outlineLvl w:val="9"/>
    </w:pPr>
    <w:rPr>
      <w:lang w:eastAsia="ru-RU"/>
    </w:rPr>
  </w:style>
  <w:style w:type="paragraph" w:styleId="11">
    <w:name w:val="toc 1"/>
    <w:basedOn w:val="a"/>
    <w:next w:val="a"/>
    <w:autoRedefine/>
    <w:uiPriority w:val="39"/>
    <w:unhideWhenUsed/>
    <w:rsid w:val="00CA112C"/>
    <w:pPr>
      <w:spacing w:after="100"/>
    </w:pPr>
  </w:style>
  <w:style w:type="paragraph" w:styleId="21">
    <w:name w:val="toc 2"/>
    <w:basedOn w:val="a"/>
    <w:next w:val="a"/>
    <w:autoRedefine/>
    <w:uiPriority w:val="39"/>
    <w:unhideWhenUsed/>
    <w:rsid w:val="00CA112C"/>
    <w:pPr>
      <w:spacing w:after="100"/>
      <w:ind w:left="220"/>
    </w:pPr>
  </w:style>
  <w:style w:type="character" w:styleId="a8">
    <w:name w:val="Hyperlink"/>
    <w:basedOn w:val="a0"/>
    <w:uiPriority w:val="99"/>
    <w:unhideWhenUsed/>
    <w:rsid w:val="00CA112C"/>
    <w:rPr>
      <w:color w:val="0563C1" w:themeColor="hyperlink"/>
      <w:u w:val="single"/>
    </w:rPr>
  </w:style>
  <w:style w:type="paragraph" w:styleId="a9">
    <w:name w:val="header"/>
    <w:basedOn w:val="a"/>
    <w:link w:val="aa"/>
    <w:uiPriority w:val="99"/>
    <w:unhideWhenUsed/>
    <w:rsid w:val="003211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21137"/>
  </w:style>
  <w:style w:type="paragraph" w:styleId="ab">
    <w:name w:val="footer"/>
    <w:basedOn w:val="a"/>
    <w:link w:val="ac"/>
    <w:uiPriority w:val="99"/>
    <w:unhideWhenUsed/>
    <w:rsid w:val="003211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21137"/>
  </w:style>
  <w:style w:type="character" w:styleId="ad">
    <w:name w:val="Unresolved Mention"/>
    <w:basedOn w:val="a0"/>
    <w:uiPriority w:val="99"/>
    <w:semiHidden/>
    <w:unhideWhenUsed/>
    <w:rsid w:val="00781237"/>
    <w:rPr>
      <w:color w:val="605E5C"/>
      <w:shd w:val="clear" w:color="auto" w:fill="E1DFDD"/>
    </w:rPr>
  </w:style>
  <w:style w:type="paragraph" w:styleId="ae">
    <w:name w:val="footnote text"/>
    <w:basedOn w:val="a"/>
    <w:link w:val="af"/>
    <w:uiPriority w:val="99"/>
    <w:semiHidden/>
    <w:unhideWhenUsed/>
    <w:rsid w:val="00F52240"/>
    <w:pPr>
      <w:spacing w:after="0" w:line="240" w:lineRule="auto"/>
    </w:pPr>
    <w:rPr>
      <w:sz w:val="20"/>
      <w:szCs w:val="20"/>
    </w:rPr>
  </w:style>
  <w:style w:type="character" w:customStyle="1" w:styleId="af">
    <w:name w:val="Текст сноски Знак"/>
    <w:basedOn w:val="a0"/>
    <w:link w:val="ae"/>
    <w:uiPriority w:val="99"/>
    <w:semiHidden/>
    <w:rsid w:val="00F52240"/>
    <w:rPr>
      <w:sz w:val="20"/>
      <w:szCs w:val="20"/>
    </w:rPr>
  </w:style>
  <w:style w:type="character" w:styleId="af0">
    <w:name w:val="footnote reference"/>
    <w:basedOn w:val="a0"/>
    <w:uiPriority w:val="99"/>
    <w:semiHidden/>
    <w:unhideWhenUsed/>
    <w:rsid w:val="00F522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5216">
      <w:bodyDiv w:val="1"/>
      <w:marLeft w:val="0"/>
      <w:marRight w:val="0"/>
      <w:marTop w:val="0"/>
      <w:marBottom w:val="0"/>
      <w:divBdr>
        <w:top w:val="none" w:sz="0" w:space="0" w:color="auto"/>
        <w:left w:val="none" w:sz="0" w:space="0" w:color="auto"/>
        <w:bottom w:val="none" w:sz="0" w:space="0" w:color="auto"/>
        <w:right w:val="none" w:sz="0" w:space="0" w:color="auto"/>
      </w:divBdr>
    </w:div>
    <w:div w:id="310331208">
      <w:bodyDiv w:val="1"/>
      <w:marLeft w:val="0"/>
      <w:marRight w:val="0"/>
      <w:marTop w:val="0"/>
      <w:marBottom w:val="0"/>
      <w:divBdr>
        <w:top w:val="none" w:sz="0" w:space="0" w:color="auto"/>
        <w:left w:val="none" w:sz="0" w:space="0" w:color="auto"/>
        <w:bottom w:val="none" w:sz="0" w:space="0" w:color="auto"/>
        <w:right w:val="none" w:sz="0" w:space="0" w:color="auto"/>
      </w:divBdr>
    </w:div>
    <w:div w:id="624581802">
      <w:bodyDiv w:val="1"/>
      <w:marLeft w:val="0"/>
      <w:marRight w:val="0"/>
      <w:marTop w:val="0"/>
      <w:marBottom w:val="0"/>
      <w:divBdr>
        <w:top w:val="none" w:sz="0" w:space="0" w:color="auto"/>
        <w:left w:val="none" w:sz="0" w:space="0" w:color="auto"/>
        <w:bottom w:val="none" w:sz="0" w:space="0" w:color="auto"/>
        <w:right w:val="none" w:sz="0" w:space="0" w:color="auto"/>
      </w:divBdr>
    </w:div>
    <w:div w:id="1268082678">
      <w:bodyDiv w:val="1"/>
      <w:marLeft w:val="0"/>
      <w:marRight w:val="0"/>
      <w:marTop w:val="0"/>
      <w:marBottom w:val="0"/>
      <w:divBdr>
        <w:top w:val="none" w:sz="0" w:space="0" w:color="auto"/>
        <w:left w:val="none" w:sz="0" w:space="0" w:color="auto"/>
        <w:bottom w:val="none" w:sz="0" w:space="0" w:color="auto"/>
        <w:right w:val="none" w:sz="0" w:space="0" w:color="auto"/>
      </w:divBdr>
    </w:div>
    <w:div w:id="14890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vid1.rian.ru/ig/ratings/Insurance-01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insurer.com/news/21/09/10/403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vid1.rian.ru/ig/ratings/Insurance-012022.pdf" TargetMode="External"/><Relationship Id="rId2" Type="http://schemas.openxmlformats.org/officeDocument/2006/relationships/hyperlink" Target="http://vid1.rian.ru/ig/ratings/Insurance-012022.pdf" TargetMode="External"/><Relationship Id="rId1" Type="http://schemas.openxmlformats.org/officeDocument/2006/relationships/hyperlink" Target="https://forinsurer.com/news/21/09/10/40338" TargetMode="External"/><Relationship Id="rId5" Type="http://schemas.openxmlformats.org/officeDocument/2006/relationships/hyperlink" Target="http://vid1.rian.ru/ig/ratings/Insurance-012022.pdf" TargetMode="External"/><Relationship Id="rId4" Type="http://schemas.openxmlformats.org/officeDocument/2006/relationships/hyperlink" Target="http://vid1.rian.ru/ig/ratings/Insurance-012022.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Страховой</a:t>
            </a:r>
            <a:r>
              <a:rPr lang="ru-RU" baseline="0"/>
              <a:t> рынок России 2020-2021</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Лист2!$B$1</c:f>
              <c:strCache>
                <c:ptCount val="1"/>
                <c:pt idx="0">
                  <c:v>Объем страховых премий, млрд рублей.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Лист2!$A$2:$A$4</c:f>
              <c:numCache>
                <c:formatCode>General</c:formatCode>
                <c:ptCount val="3"/>
                <c:pt idx="0">
                  <c:v>2020</c:v>
                </c:pt>
                <c:pt idx="1">
                  <c:v>2021</c:v>
                </c:pt>
                <c:pt idx="2">
                  <c:v>2022</c:v>
                </c:pt>
              </c:numCache>
            </c:numRef>
          </c:cat>
          <c:val>
            <c:numRef>
              <c:f>Лист2!$B$2:$B$4</c:f>
              <c:numCache>
                <c:formatCode>General</c:formatCode>
                <c:ptCount val="3"/>
                <c:pt idx="0">
                  <c:v>1578.3</c:v>
                </c:pt>
                <c:pt idx="1">
                  <c:v>1808.2</c:v>
                </c:pt>
                <c:pt idx="2">
                  <c:v>2000</c:v>
                </c:pt>
              </c:numCache>
            </c:numRef>
          </c:val>
          <c:extLst>
            <c:ext xmlns:c16="http://schemas.microsoft.com/office/drawing/2014/chart" uri="{C3380CC4-5D6E-409C-BE32-E72D297353CC}">
              <c16:uniqueId val="{00000000-C676-4646-8642-C86B503EAA9C}"/>
            </c:ext>
          </c:extLst>
        </c:ser>
        <c:ser>
          <c:idx val="1"/>
          <c:order val="1"/>
          <c:tx>
            <c:strRef>
              <c:f>Лист2!$C$1</c:f>
              <c:strCache>
                <c:ptCount val="1"/>
                <c:pt idx="0">
                  <c:v>Объем произведенных выпла,млрд рублей.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Лист2!$A$2:$A$4</c:f>
              <c:numCache>
                <c:formatCode>General</c:formatCode>
                <c:ptCount val="3"/>
                <c:pt idx="0">
                  <c:v>2020</c:v>
                </c:pt>
                <c:pt idx="1">
                  <c:v>2021</c:v>
                </c:pt>
                <c:pt idx="2">
                  <c:v>2022</c:v>
                </c:pt>
              </c:numCache>
            </c:numRef>
          </c:cat>
          <c:val>
            <c:numRef>
              <c:f>Лист2!$C$2:$C$4</c:f>
              <c:numCache>
                <c:formatCode>General</c:formatCode>
                <c:ptCount val="3"/>
                <c:pt idx="0">
                  <c:v>648.65</c:v>
                </c:pt>
                <c:pt idx="1">
                  <c:v>796.97</c:v>
                </c:pt>
                <c:pt idx="2">
                  <c:v>900</c:v>
                </c:pt>
              </c:numCache>
            </c:numRef>
          </c:val>
          <c:extLst>
            <c:ext xmlns:c16="http://schemas.microsoft.com/office/drawing/2014/chart" uri="{C3380CC4-5D6E-409C-BE32-E72D297353CC}">
              <c16:uniqueId val="{00000001-C676-4646-8642-C86B503EAA9C}"/>
            </c:ext>
          </c:extLst>
        </c:ser>
        <c:dLbls>
          <c:showLegendKey val="0"/>
          <c:showVal val="0"/>
          <c:showCatName val="0"/>
          <c:showSerName val="0"/>
          <c:showPercent val="0"/>
          <c:showBubbleSize val="0"/>
        </c:dLbls>
        <c:gapWidth val="219"/>
        <c:overlap val="-27"/>
        <c:axId val="1736086671"/>
        <c:axId val="1736097183"/>
      </c:barChart>
      <c:catAx>
        <c:axId val="1736086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36097183"/>
        <c:crosses val="autoZero"/>
        <c:auto val="1"/>
        <c:lblAlgn val="ctr"/>
        <c:lblOffset val="100"/>
        <c:noMultiLvlLbl val="0"/>
      </c:catAx>
      <c:valAx>
        <c:axId val="1736097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36086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Лист3!$A$2:$A$4</c:f>
              <c:numCache>
                <c:formatCode>General</c:formatCode>
                <c:ptCount val="3"/>
                <c:pt idx="0">
                  <c:v>2020</c:v>
                </c:pt>
                <c:pt idx="1">
                  <c:v>2021</c:v>
                </c:pt>
                <c:pt idx="2">
                  <c:v>2022</c:v>
                </c:pt>
              </c:numCache>
            </c:numRef>
          </c:cat>
          <c:val>
            <c:numRef>
              <c:f>Лист3!$B$2:$B$4</c:f>
              <c:numCache>
                <c:formatCode>General</c:formatCode>
                <c:ptCount val="3"/>
                <c:pt idx="0">
                  <c:v>149</c:v>
                </c:pt>
                <c:pt idx="1">
                  <c:v>136</c:v>
                </c:pt>
                <c:pt idx="2">
                  <c:v>120</c:v>
                </c:pt>
              </c:numCache>
            </c:numRef>
          </c:val>
          <c:extLst>
            <c:ext xmlns:c16="http://schemas.microsoft.com/office/drawing/2014/chart" uri="{C3380CC4-5D6E-409C-BE32-E72D297353CC}">
              <c16:uniqueId val="{00000000-FFFA-4595-BBE3-5A3CE8764261}"/>
            </c:ext>
          </c:extLst>
        </c:ser>
        <c:dLbls>
          <c:showLegendKey val="0"/>
          <c:showVal val="0"/>
          <c:showCatName val="0"/>
          <c:showSerName val="0"/>
          <c:showPercent val="0"/>
          <c:showBubbleSize val="0"/>
        </c:dLbls>
        <c:gapWidth val="219"/>
        <c:overlap val="-27"/>
        <c:axId val="1736083071"/>
        <c:axId val="1790727615"/>
      </c:barChart>
      <c:catAx>
        <c:axId val="1736083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0727615"/>
        <c:crosses val="autoZero"/>
        <c:auto val="1"/>
        <c:lblAlgn val="ctr"/>
        <c:lblOffset val="100"/>
        <c:noMultiLvlLbl val="0"/>
      </c:catAx>
      <c:valAx>
        <c:axId val="1790727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360830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Количество включенных страховых договоров в 2021 году, тыс.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extLst>
                <c:ext xmlns:c15="http://schemas.microsoft.com/office/drawing/2012/chart" uri="{02D57815-91ED-43cb-92C2-25804820EDAC}">
                  <c15:fullRef>
                    <c15:sqref>Лист1!$A$2:$A$11</c15:sqref>
                  </c15:fullRef>
                </c:ext>
              </c:extLst>
              <c:f>Лист1!$A$2:$A$8</c:f>
              <c:strCache>
                <c:ptCount val="7"/>
                <c:pt idx="0">
                  <c:v>АО "СОГАЗ" (лиц. 1208)</c:v>
                </c:pt>
                <c:pt idx="1">
                  <c:v>ООО СК "Сбербанк страхование жизни" (лиц. 3692)</c:v>
                </c:pt>
                <c:pt idx="2">
                  <c:v>АО "АльфаСтрахование" (лиц. 2239)</c:v>
                </c:pt>
                <c:pt idx="3">
                  <c:v>СП АО "Ингосстрах" (лиц. 0928)</c:v>
                </c:pt>
                <c:pt idx="4">
                  <c:v>САО "РЕСО-Гарантия" (лиц. 1209)</c:v>
                </c:pt>
                <c:pt idx="5">
                  <c:v>ООО "АльфаСграхование-Жизнь" (лиц. 3447)</c:v>
                </c:pt>
                <c:pt idx="6">
                  <c:v>ПАО СК "Росгосстрах" (лиц. 0001)</c:v>
                </c:pt>
              </c:strCache>
            </c:strRef>
          </c:cat>
          <c:val>
            <c:numRef>
              <c:extLst>
                <c:ext xmlns:c15="http://schemas.microsoft.com/office/drawing/2012/chart" uri="{02D57815-91ED-43cb-92C2-25804820EDAC}">
                  <c15:fullRef>
                    <c15:sqref>Лист1!$B$2:$B$11</c15:sqref>
                  </c15:fullRef>
                </c:ext>
              </c:extLst>
              <c:f>Лист1!$B$2:$B$8</c:f>
              <c:numCache>
                <c:formatCode>General</c:formatCode>
                <c:ptCount val="7"/>
                <c:pt idx="0">
                  <c:v>10697</c:v>
                </c:pt>
                <c:pt idx="1">
                  <c:v>1935.4</c:v>
                </c:pt>
                <c:pt idx="2">
                  <c:v>7691.1</c:v>
                </c:pt>
                <c:pt idx="3">
                  <c:v>11044.8</c:v>
                </c:pt>
                <c:pt idx="4">
                  <c:v>14339.1</c:v>
                </c:pt>
                <c:pt idx="5">
                  <c:v>1397.2</c:v>
                </c:pt>
                <c:pt idx="6">
                  <c:v>18427.7</c:v>
                </c:pt>
              </c:numCache>
            </c:numRef>
          </c:val>
          <c:extLst>
            <c:ext xmlns:c16="http://schemas.microsoft.com/office/drawing/2014/chart" uri="{C3380CC4-5D6E-409C-BE32-E72D297353CC}">
              <c16:uniqueId val="{00000000-38AD-4F55-9E82-DFBFED627A09}"/>
            </c:ext>
          </c:extLst>
        </c:ser>
        <c:dLbls>
          <c:showLegendKey val="0"/>
          <c:showVal val="0"/>
          <c:showCatName val="0"/>
          <c:showSerName val="0"/>
          <c:showPercent val="0"/>
          <c:showBubbleSize val="0"/>
        </c:dLbls>
        <c:gapWidth val="219"/>
        <c:axId val="1726511103"/>
        <c:axId val="1729755791"/>
      </c:barChart>
      <c:catAx>
        <c:axId val="1726511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9755791"/>
        <c:crosses val="autoZero"/>
        <c:auto val="1"/>
        <c:lblAlgn val="ctr"/>
        <c:lblOffset val="100"/>
        <c:noMultiLvlLbl val="0"/>
      </c:catAx>
      <c:valAx>
        <c:axId val="17297557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26511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10584711286089239"/>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1"/>
          <c:order val="1"/>
          <c:tx>
            <c:strRef>
              <c:f>Лист1!$C$1</c:f>
              <c:strCache>
                <c:ptCount val="1"/>
                <c:pt idx="0">
                  <c:v>Количество действующих страховых договоров на 01.01.22, тыс.</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Лист1!$A$2:$A$11</c15:sqref>
                  </c15:fullRef>
                </c:ext>
              </c:extLst>
              <c:f>(Лист1!$A$2:$A$9,Лист1!$A$11)</c:f>
              <c:strCache>
                <c:ptCount val="9"/>
                <c:pt idx="0">
                  <c:v>АО "СОГАЗ" (лиц. 1208)</c:v>
                </c:pt>
                <c:pt idx="1">
                  <c:v>ООО СК "Сбербанк страхование жизни" (лиц. 3692)</c:v>
                </c:pt>
                <c:pt idx="2">
                  <c:v>АО "АльфаСтрахование" (лиц. 2239)</c:v>
                </c:pt>
                <c:pt idx="3">
                  <c:v>СП АО "Ингосстрах" (лиц. 0928)</c:v>
                </c:pt>
                <c:pt idx="4">
                  <c:v>САО "РЕСО-Гарантия" (лиц. 1209)</c:v>
                </c:pt>
                <c:pt idx="5">
                  <c:v>ООО "АльфаСграхование-Жизнь" (лиц. 3447)</c:v>
                </c:pt>
                <c:pt idx="6">
                  <c:v>ПАО СК "Росгосстрах" (лиц. 0001)</c:v>
                </c:pt>
                <c:pt idx="7">
                  <c:v>САО "ВСК" (шщ. 0621)</c:v>
                </c:pt>
                <c:pt idx="8">
                  <c:v>ООО "СК "Ренессанс Жизнь" (лиц. 3972)</c:v>
                </c:pt>
              </c:strCache>
            </c:strRef>
          </c:cat>
          <c:val>
            <c:numRef>
              <c:extLst>
                <c:ext xmlns:c15="http://schemas.microsoft.com/office/drawing/2012/chart" uri="{02D57815-91ED-43cb-92C2-25804820EDAC}">
                  <c15:fullRef>
                    <c15:sqref>Лист1!$C$2:$C$11</c15:sqref>
                  </c15:fullRef>
                </c:ext>
              </c:extLst>
              <c:f>(Лист1!$C$2:$C$9,Лист1!$C$11)</c:f>
              <c:numCache>
                <c:formatCode>General</c:formatCode>
                <c:ptCount val="9"/>
                <c:pt idx="0">
                  <c:v>17265.3</c:v>
                </c:pt>
                <c:pt idx="1">
                  <c:v>7368.6</c:v>
                </c:pt>
                <c:pt idx="2">
                  <c:v>18214.5</c:v>
                </c:pt>
                <c:pt idx="3">
                  <c:v>8649.7000000000007</c:v>
                </c:pt>
                <c:pt idx="4">
                  <c:v>11042.3</c:v>
                </c:pt>
                <c:pt idx="5">
                  <c:v>2984.4</c:v>
                </c:pt>
                <c:pt idx="6">
                  <c:v>13588.2</c:v>
                </c:pt>
                <c:pt idx="7">
                  <c:v>13250</c:v>
                </c:pt>
                <c:pt idx="8">
                  <c:v>3725.4</c:v>
                </c:pt>
              </c:numCache>
            </c:numRef>
          </c:val>
          <c:extLst>
            <c:ext xmlns:c16="http://schemas.microsoft.com/office/drawing/2014/chart" uri="{C3380CC4-5D6E-409C-BE32-E72D297353CC}">
              <c16:uniqueId val="{00000000-C337-4E96-9BB0-92AECD2ECA38}"/>
            </c:ext>
          </c:extLst>
        </c:ser>
        <c:dLbls>
          <c:showLegendKey val="0"/>
          <c:showVal val="0"/>
          <c:showCatName val="0"/>
          <c:showSerName val="0"/>
          <c:showPercent val="0"/>
          <c:showBubbleSize val="0"/>
        </c:dLbls>
        <c:gapWidth val="182"/>
        <c:axId val="1787670351"/>
        <c:axId val="1784456527"/>
        <c:extLst>
          <c:ext xmlns:c15="http://schemas.microsoft.com/office/drawing/2012/chart" uri="{02D57815-91ED-43cb-92C2-25804820EDAC}">
            <c15:filteredBarSeries>
              <c15:ser>
                <c:idx val="0"/>
                <c:order val="0"/>
                <c:tx>
                  <c:strRef>
                    <c:extLst>
                      <c:ext uri="{02D57815-91ED-43cb-92C2-25804820EDAC}">
                        <c15:formulaRef>
                          <c15:sqref>Лист1!$B$1</c15:sqref>
                        </c15:formulaRef>
                      </c:ext>
                    </c:extLst>
                    <c:strCache>
                      <c:ptCount val="1"/>
                      <c:pt idx="0">
                        <c:v>Количество включенных страховых договоров в 2021 году, тыс.</c:v>
                      </c:pt>
                    </c:strCache>
                  </c:strRef>
                </c:tx>
                <c:spPr>
                  <a:solidFill>
                    <a:schemeClr val="accent1">
                      <a:shade val="76000"/>
                    </a:schemeClr>
                  </a:solidFill>
                  <a:ln>
                    <a:noFill/>
                  </a:ln>
                  <a:effectLst/>
                </c:spPr>
                <c:invertIfNegative val="0"/>
                <c:cat>
                  <c:strRef>
                    <c:extLst>
                      <c:ext uri="{02D57815-91ED-43cb-92C2-25804820EDAC}">
                        <c15:fullRef>
                          <c15:sqref>Лист1!$A$2:$A$11</c15:sqref>
                        </c15:fullRef>
                        <c15:formulaRef>
                          <c15:sqref>(Лист1!$A$2:$A$9,Лист1!$A$11)</c15:sqref>
                        </c15:formulaRef>
                      </c:ext>
                    </c:extLst>
                    <c:strCache>
                      <c:ptCount val="9"/>
                      <c:pt idx="0">
                        <c:v>АО "СОГАЗ" (лиц. 1208)</c:v>
                      </c:pt>
                      <c:pt idx="1">
                        <c:v>ООО СК "Сбербанк страхование жизни" (лиц. 3692)</c:v>
                      </c:pt>
                      <c:pt idx="2">
                        <c:v>АО "АльфаСтрахование" (лиц. 2239)</c:v>
                      </c:pt>
                      <c:pt idx="3">
                        <c:v>СП АО "Ингосстрах" (лиц. 0928)</c:v>
                      </c:pt>
                      <c:pt idx="4">
                        <c:v>САО "РЕСО-Гарантия" (лиц. 1209)</c:v>
                      </c:pt>
                      <c:pt idx="5">
                        <c:v>ООО "АльфаСграхование-Жизнь" (лиц. 3447)</c:v>
                      </c:pt>
                      <c:pt idx="6">
                        <c:v>ПАО СК "Росгосстрах" (лиц. 0001)</c:v>
                      </c:pt>
                      <c:pt idx="7">
                        <c:v>САО "ВСК" (шщ. 0621)</c:v>
                      </c:pt>
                      <c:pt idx="8">
                        <c:v>ООО "СК "Ренессанс Жизнь" (лиц. 3972)</c:v>
                      </c:pt>
                    </c:strCache>
                  </c:strRef>
                </c:cat>
                <c:val>
                  <c:numRef>
                    <c:extLst>
                      <c:ext uri="{02D57815-91ED-43cb-92C2-25804820EDAC}">
                        <c15:fullRef>
                          <c15:sqref>Лист1!$B$2:$B$11</c15:sqref>
                        </c15:fullRef>
                        <c15:formulaRef>
                          <c15:sqref>(Лист1!$B$2:$B$9,Лист1!$B$11)</c15:sqref>
                        </c15:formulaRef>
                      </c:ext>
                    </c:extLst>
                    <c:numCache>
                      <c:formatCode>General</c:formatCode>
                      <c:ptCount val="9"/>
                      <c:pt idx="0">
                        <c:v>10697</c:v>
                      </c:pt>
                      <c:pt idx="1">
                        <c:v>1935.4</c:v>
                      </c:pt>
                      <c:pt idx="2">
                        <c:v>7691.1</c:v>
                      </c:pt>
                      <c:pt idx="3">
                        <c:v>11044.8</c:v>
                      </c:pt>
                      <c:pt idx="4">
                        <c:v>14339.1</c:v>
                      </c:pt>
                      <c:pt idx="5">
                        <c:v>1397.2</c:v>
                      </c:pt>
                      <c:pt idx="6">
                        <c:v>18427.7</c:v>
                      </c:pt>
                      <c:pt idx="7">
                        <c:v>29596.799999999999</c:v>
                      </c:pt>
                      <c:pt idx="8">
                        <c:v>2733.4</c:v>
                      </c:pt>
                    </c:numCache>
                  </c:numRef>
                </c:val>
                <c:extLst>
                  <c:ext xmlns:c16="http://schemas.microsoft.com/office/drawing/2014/chart" uri="{C3380CC4-5D6E-409C-BE32-E72D297353CC}">
                    <c16:uniqueId val="{00000001-C337-4E96-9BB0-92AECD2ECA38}"/>
                  </c:ext>
                </c:extLst>
              </c15:ser>
            </c15:filteredBarSeries>
          </c:ext>
        </c:extLst>
      </c:barChart>
      <c:catAx>
        <c:axId val="1787670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4456527"/>
        <c:crosses val="autoZero"/>
        <c:auto val="1"/>
        <c:lblAlgn val="ctr"/>
        <c:lblOffset val="100"/>
        <c:noMultiLvlLbl val="0"/>
      </c:catAx>
      <c:valAx>
        <c:axId val="17844565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7670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A2B1-9720-4334-8B6A-83855332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18</Pages>
  <Words>2953</Words>
  <Characters>16836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Автор</cp:lastModifiedBy>
  <cp:revision>1</cp:revision>
  <dcterms:created xsi:type="dcterms:W3CDTF">2022-05-23T06:16:00Z</dcterms:created>
  <dcterms:modified xsi:type="dcterms:W3CDTF">2022-05-23T17:51:00Z</dcterms:modified>
</cp:coreProperties>
</file>